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F07E" w14:textId="1B0199A4" w:rsidR="00800833" w:rsidRPr="00967A12" w:rsidRDefault="00820A2A" w:rsidP="00967A12">
      <w:pPr>
        <w:widowControl/>
        <w:jc w:val="center"/>
        <w:rPr>
          <w:rFonts w:eastAsia="標楷體"/>
          <w:bCs/>
          <w:sz w:val="36"/>
          <w:szCs w:val="36"/>
        </w:rPr>
      </w:pPr>
      <w:r w:rsidRPr="00967A12">
        <w:rPr>
          <w:rFonts w:ascii="標楷體" w:eastAsia="標楷體" w:hAnsi="標楷體" w:hint="eastAsia"/>
          <w:bCs/>
          <w:sz w:val="36"/>
          <w:szCs w:val="36"/>
        </w:rPr>
        <w:t>東海大學</w:t>
      </w:r>
      <w:r w:rsidR="009F6C35" w:rsidRPr="00967A12">
        <w:rPr>
          <w:rFonts w:ascii="標楷體" w:eastAsia="標楷體" w:hAnsi="標楷體" w:hint="eastAsia"/>
          <w:bCs/>
          <w:sz w:val="36"/>
          <w:szCs w:val="36"/>
        </w:rPr>
        <w:t>聘任專業技術人員擔任教學</w:t>
      </w:r>
      <w:r w:rsidR="008B056C" w:rsidRPr="00967A12">
        <w:rPr>
          <w:rFonts w:ascii="標楷體" w:eastAsia="標楷體" w:hAnsi="標楷體" w:hint="eastAsia"/>
          <w:bCs/>
          <w:sz w:val="36"/>
          <w:szCs w:val="36"/>
        </w:rPr>
        <w:t>辦法</w:t>
      </w:r>
      <w:r w:rsidR="00967A12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967A12">
        <w:rPr>
          <w:rFonts w:ascii="標楷體" w:eastAsia="標楷體" w:hAnsi="標楷體" w:hint="eastAsia"/>
          <w:bCs/>
          <w:sz w:val="36"/>
          <w:szCs w:val="36"/>
        </w:rPr>
        <w:t>修</w:t>
      </w:r>
      <w:r w:rsidR="00BC6ABE" w:rsidRPr="00967A12">
        <w:rPr>
          <w:rFonts w:ascii="標楷體" w:eastAsia="標楷體" w:hAnsi="標楷體" w:hint="eastAsia"/>
          <w:bCs/>
          <w:sz w:val="36"/>
          <w:szCs w:val="36"/>
        </w:rPr>
        <w:t>訂</w:t>
      </w:r>
      <w:r w:rsidRPr="00967A12">
        <w:rPr>
          <w:rFonts w:ascii="標楷體" w:eastAsia="標楷體" w:hAnsi="標楷體" w:hint="eastAsia"/>
          <w:bCs/>
          <w:sz w:val="36"/>
          <w:szCs w:val="36"/>
        </w:rPr>
        <w:t>對照表</w:t>
      </w: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904"/>
        <w:gridCol w:w="536"/>
        <w:gridCol w:w="3904"/>
        <w:gridCol w:w="1775"/>
      </w:tblGrid>
      <w:tr w:rsidR="00192CE7" w:rsidRPr="00800833" w14:paraId="0A84EFF1" w14:textId="77777777" w:rsidTr="00192CE7">
        <w:trPr>
          <w:trHeight w:val="830"/>
          <w:jc w:val="center"/>
        </w:trPr>
        <w:tc>
          <w:tcPr>
            <w:tcW w:w="4421" w:type="dxa"/>
            <w:gridSpan w:val="2"/>
            <w:noWrap/>
          </w:tcPr>
          <w:p w14:paraId="036A2A52" w14:textId="77777777" w:rsidR="00192CE7" w:rsidRPr="00F91BE8" w:rsidRDefault="00192CE7" w:rsidP="00192CE7">
            <w:pPr>
              <w:spacing w:line="400" w:lineRule="exact"/>
              <w:jc w:val="center"/>
              <w:rPr>
                <w:rFonts w:ascii="標楷體" w:eastAsia="標楷體" w:hAnsi="Arial" w:cs="Arial"/>
                <w:spacing w:val="15"/>
                <w:sz w:val="28"/>
                <w:szCs w:val="28"/>
              </w:rPr>
            </w:pPr>
            <w:r w:rsidRPr="00F91BE8"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  <w:t>本次</w:t>
            </w:r>
            <w:r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  <w:t>校務會議</w:t>
            </w:r>
            <w:r w:rsidRPr="00F91BE8"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  <w:t>通過</w:t>
            </w:r>
          </w:p>
          <w:p w14:paraId="544FB810" w14:textId="1AE63B13" w:rsidR="00192CE7" w:rsidRPr="00967A12" w:rsidRDefault="00192CE7" w:rsidP="00192CE7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C52BB">
              <w:rPr>
                <w:rFonts w:ascii="標楷體" w:eastAsia="標楷體" w:hAnsi="Arial" w:cs="Arial" w:hint="eastAsia"/>
                <w:color w:val="000000"/>
                <w:spacing w:val="-20"/>
                <w:szCs w:val="24"/>
              </w:rPr>
              <w:t>(114年10月21日第244次</w:t>
            </w:r>
            <w:r w:rsidRPr="002C52BB">
              <w:rPr>
                <w:rFonts w:ascii="標楷體" w:eastAsia="標楷體" w:hAnsi="標楷體"/>
                <w:spacing w:val="-20"/>
                <w:kern w:val="24"/>
                <w:szCs w:val="24"/>
              </w:rPr>
              <w:t>校務會議修正通過</w:t>
            </w:r>
            <w:r w:rsidRPr="002C52BB">
              <w:rPr>
                <w:rFonts w:ascii="標楷體" w:eastAsia="標楷體" w:hAnsi="Arial" w:cs="Arial" w:hint="eastAsia"/>
                <w:color w:val="000000"/>
                <w:spacing w:val="-20"/>
                <w:szCs w:val="24"/>
              </w:rPr>
              <w:t>)</w:t>
            </w:r>
          </w:p>
        </w:tc>
        <w:tc>
          <w:tcPr>
            <w:tcW w:w="4440" w:type="dxa"/>
            <w:gridSpan w:val="2"/>
            <w:noWrap/>
          </w:tcPr>
          <w:p w14:paraId="0998A669" w14:textId="352C7F00" w:rsidR="00192CE7" w:rsidRPr="00A623EC" w:rsidRDefault="00192CE7" w:rsidP="00967A1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上次校務會議通過</w:t>
            </w:r>
          </w:p>
          <w:p w14:paraId="4034C710" w14:textId="55A1CCCC" w:rsidR="00192CE7" w:rsidRPr="00967A12" w:rsidRDefault="00192CE7" w:rsidP="00967A12">
            <w:pPr>
              <w:spacing w:line="400" w:lineRule="exact"/>
              <w:jc w:val="center"/>
              <w:rPr>
                <w:rFonts w:eastAsia="標楷體"/>
                <w:spacing w:val="-24"/>
                <w:sz w:val="26"/>
                <w:szCs w:val="26"/>
              </w:rPr>
            </w:pPr>
            <w:r w:rsidRPr="00967A12">
              <w:rPr>
                <w:rFonts w:eastAsia="標楷體" w:hint="eastAsia"/>
                <w:spacing w:val="-24"/>
                <w:szCs w:val="24"/>
              </w:rPr>
              <w:t>(113</w:t>
            </w:r>
            <w:r w:rsidRPr="00967A12">
              <w:rPr>
                <w:rFonts w:eastAsia="標楷體" w:hint="eastAsia"/>
                <w:spacing w:val="-24"/>
                <w:szCs w:val="24"/>
              </w:rPr>
              <w:t>年</w:t>
            </w:r>
            <w:r w:rsidRPr="00967A12">
              <w:rPr>
                <w:rFonts w:eastAsia="標楷體" w:hint="eastAsia"/>
                <w:spacing w:val="-24"/>
                <w:szCs w:val="24"/>
              </w:rPr>
              <w:t>5</w:t>
            </w:r>
            <w:r w:rsidRPr="00967A12">
              <w:rPr>
                <w:rFonts w:eastAsia="標楷體" w:hint="eastAsia"/>
                <w:spacing w:val="-24"/>
                <w:szCs w:val="24"/>
              </w:rPr>
              <w:t>月</w:t>
            </w:r>
            <w:r w:rsidRPr="00967A12">
              <w:rPr>
                <w:rFonts w:eastAsia="標楷體" w:hint="eastAsia"/>
                <w:spacing w:val="-24"/>
                <w:szCs w:val="24"/>
              </w:rPr>
              <w:t>28</w:t>
            </w:r>
            <w:r w:rsidRPr="00967A12">
              <w:rPr>
                <w:rFonts w:eastAsia="標楷體" w:hint="eastAsia"/>
                <w:spacing w:val="-24"/>
                <w:szCs w:val="24"/>
              </w:rPr>
              <w:t>日第</w:t>
            </w:r>
            <w:r w:rsidRPr="00967A12">
              <w:rPr>
                <w:rFonts w:eastAsia="標楷體" w:hint="eastAsia"/>
                <w:spacing w:val="-24"/>
                <w:szCs w:val="24"/>
              </w:rPr>
              <w:t>239</w:t>
            </w:r>
            <w:r w:rsidRPr="00967A12">
              <w:rPr>
                <w:rFonts w:eastAsia="標楷體" w:hint="eastAsia"/>
                <w:spacing w:val="-24"/>
                <w:szCs w:val="24"/>
              </w:rPr>
              <w:t>次校務會議修正通過</w:t>
            </w:r>
            <w:r w:rsidRPr="00967A12">
              <w:rPr>
                <w:rFonts w:eastAsia="標楷體" w:hint="eastAsia"/>
                <w:spacing w:val="-24"/>
                <w:szCs w:val="24"/>
              </w:rPr>
              <w:t>)</w:t>
            </w:r>
          </w:p>
        </w:tc>
        <w:tc>
          <w:tcPr>
            <w:tcW w:w="1775" w:type="dxa"/>
            <w:noWrap/>
            <w:vAlign w:val="center"/>
          </w:tcPr>
          <w:p w14:paraId="46F7F1AF" w14:textId="77777777" w:rsidR="00192CE7" w:rsidRPr="00A623EC" w:rsidRDefault="00192CE7" w:rsidP="00967A1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23EC">
              <w:rPr>
                <w:rFonts w:eastAsia="標楷體"/>
                <w:sz w:val="28"/>
                <w:szCs w:val="28"/>
              </w:rPr>
              <w:t>說明</w:t>
            </w:r>
          </w:p>
          <w:p w14:paraId="43C57E23" w14:textId="77777777" w:rsidR="00192CE7" w:rsidRPr="00967A12" w:rsidRDefault="00192CE7" w:rsidP="00967A12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67A12" w:rsidRPr="00800833" w14:paraId="56F06E00" w14:textId="77777777" w:rsidTr="00967A12">
        <w:trPr>
          <w:trHeight w:val="1964"/>
          <w:jc w:val="center"/>
        </w:trPr>
        <w:tc>
          <w:tcPr>
            <w:tcW w:w="517" w:type="dxa"/>
            <w:noWrap/>
          </w:tcPr>
          <w:p w14:paraId="557EB87D" w14:textId="1B1123ED" w:rsidR="00BA3C18" w:rsidRPr="00192CE7" w:rsidRDefault="00BA3C18" w:rsidP="00967A12">
            <w:pPr>
              <w:spacing w:line="400" w:lineRule="exact"/>
              <w:jc w:val="center"/>
              <w:rPr>
                <w:rFonts w:eastAsia="標楷體"/>
                <w:bCs/>
                <w:color w:val="FF0000"/>
                <w:szCs w:val="24"/>
              </w:rPr>
            </w:pPr>
            <w:r w:rsidRPr="00192CE7">
              <w:rPr>
                <w:rFonts w:eastAsia="標楷體" w:hint="eastAsia"/>
                <w:bCs/>
                <w:color w:val="FF0000"/>
                <w:szCs w:val="24"/>
              </w:rPr>
              <w:t>第</w:t>
            </w:r>
            <w:r w:rsidR="00382717" w:rsidRPr="00192CE7">
              <w:rPr>
                <w:rFonts w:eastAsia="標楷體" w:hint="eastAsia"/>
                <w:bCs/>
                <w:color w:val="FF0000"/>
                <w:szCs w:val="24"/>
              </w:rPr>
              <w:t>三</w:t>
            </w:r>
            <w:r w:rsidRPr="00192CE7">
              <w:rPr>
                <w:rFonts w:eastAsia="標楷體" w:hint="eastAsia"/>
                <w:bCs/>
                <w:color w:val="FF0000"/>
                <w:szCs w:val="24"/>
              </w:rPr>
              <w:t>條</w:t>
            </w:r>
          </w:p>
        </w:tc>
        <w:tc>
          <w:tcPr>
            <w:tcW w:w="3904" w:type="dxa"/>
            <w:noWrap/>
          </w:tcPr>
          <w:p w14:paraId="7978829A" w14:textId="50743F60" w:rsidR="00BA3C18" w:rsidRPr="00192CE7" w:rsidRDefault="00382717" w:rsidP="00967A12">
            <w:pPr>
              <w:spacing w:line="400" w:lineRule="exact"/>
              <w:ind w:left="31" w:hangingChars="13" w:hanging="31"/>
              <w:rPr>
                <w:rFonts w:eastAsia="標楷體"/>
                <w:b/>
                <w:bCs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專業技術人員比照教師職務等級，分教授級、副教授級、助理教授級及講師級四級。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1F373D11" w14:textId="42263FEC" w:rsidR="00BA3C18" w:rsidRPr="00192CE7" w:rsidRDefault="00BA3C18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92CE7">
              <w:rPr>
                <w:rFonts w:eastAsia="標楷體" w:hint="eastAsia"/>
                <w:bCs/>
                <w:szCs w:val="24"/>
              </w:rPr>
              <w:t>第三條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45D14C04" w14:textId="77777777" w:rsidR="00BA3C18" w:rsidRPr="00192CE7" w:rsidRDefault="00BA3C18" w:rsidP="00967A12">
            <w:pPr>
              <w:spacing w:line="400" w:lineRule="exact"/>
              <w:ind w:left="31" w:hangingChars="13" w:hanging="31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專業技術人員比照教師職務等級，分教授級、副教授級、助理教授級及講師級四級。</w:t>
            </w:r>
          </w:p>
          <w:p w14:paraId="252E770A" w14:textId="7C6399AA" w:rsidR="00BA3C18" w:rsidRPr="00192CE7" w:rsidRDefault="00BA3C18" w:rsidP="00967A12">
            <w:pPr>
              <w:spacing w:line="400" w:lineRule="exact"/>
              <w:rPr>
                <w:rFonts w:eastAsia="標楷體"/>
                <w:b/>
                <w:bCs/>
                <w:strike/>
                <w:szCs w:val="24"/>
              </w:rPr>
            </w:pPr>
            <w:r w:rsidRPr="00192CE7">
              <w:rPr>
                <w:rFonts w:ascii="標楷體" w:eastAsia="標楷體" w:hAnsi="標楷體" w:hint="eastAsia"/>
                <w:strike/>
                <w:color w:val="FF0000"/>
                <w:szCs w:val="24"/>
              </w:rPr>
              <w:t>專業技術人員佔聘任單位之教師名額，惟其並非大學法所稱之教師。</w:t>
            </w:r>
          </w:p>
        </w:tc>
        <w:tc>
          <w:tcPr>
            <w:tcW w:w="1775" w:type="dxa"/>
            <w:noWrap/>
          </w:tcPr>
          <w:p w14:paraId="02998783" w14:textId="5F44256E" w:rsidR="00BA3C18" w:rsidRPr="00967A12" w:rsidRDefault="000411DF" w:rsidP="000411DF">
            <w:pPr>
              <w:spacing w:line="320" w:lineRule="exact"/>
              <w:rPr>
                <w:rFonts w:eastAsia="標楷體"/>
                <w:b/>
                <w:bCs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t>原</w:t>
            </w:r>
            <w:r w:rsidR="0057108F" w:rsidRPr="00967A12">
              <w:rPr>
                <w:rFonts w:eastAsia="標楷體" w:hint="eastAsia"/>
                <w:szCs w:val="24"/>
              </w:rPr>
              <w:t>條文</w:t>
            </w:r>
            <w:r w:rsidRPr="00967A12">
              <w:rPr>
                <w:rFonts w:eastAsia="標楷體" w:hint="eastAsia"/>
                <w:szCs w:val="24"/>
              </w:rPr>
              <w:t>第三條第二項移列至第四條</w:t>
            </w:r>
          </w:p>
        </w:tc>
      </w:tr>
      <w:tr w:rsidR="00967A12" w:rsidRPr="00800833" w14:paraId="58A6B3A8" w14:textId="77777777" w:rsidTr="00967A12">
        <w:trPr>
          <w:trHeight w:val="993"/>
          <w:jc w:val="center"/>
        </w:trPr>
        <w:tc>
          <w:tcPr>
            <w:tcW w:w="517" w:type="dxa"/>
            <w:noWrap/>
          </w:tcPr>
          <w:p w14:paraId="1E2C6ABC" w14:textId="28B69E28" w:rsidR="00382717" w:rsidRPr="00192CE7" w:rsidRDefault="00382717" w:rsidP="00FE6C8F">
            <w:pPr>
              <w:spacing w:line="320" w:lineRule="exact"/>
              <w:jc w:val="center"/>
              <w:rPr>
                <w:rFonts w:eastAsia="標楷體"/>
                <w:bCs/>
                <w:color w:val="FF0000"/>
                <w:szCs w:val="24"/>
              </w:rPr>
            </w:pPr>
            <w:r w:rsidRPr="00192CE7">
              <w:rPr>
                <w:rFonts w:eastAsia="標楷體" w:hint="eastAsia"/>
                <w:bCs/>
                <w:color w:val="FF0000"/>
                <w:szCs w:val="24"/>
              </w:rPr>
              <w:t>第四條</w:t>
            </w:r>
          </w:p>
        </w:tc>
        <w:tc>
          <w:tcPr>
            <w:tcW w:w="3904" w:type="dxa"/>
            <w:noWrap/>
          </w:tcPr>
          <w:p w14:paraId="29076F09" w14:textId="62C3E65C" w:rsidR="00382717" w:rsidRPr="00192CE7" w:rsidRDefault="00382717" w:rsidP="00967A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專業技術人員佔聘任單位之教師名額，惟其並非大學法所稱之教師。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1D3B83B7" w14:textId="77777777" w:rsidR="00382717" w:rsidRPr="00192CE7" w:rsidRDefault="00382717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0F38B5FC" w14:textId="77777777" w:rsidR="00382717" w:rsidRPr="00192CE7" w:rsidRDefault="00382717" w:rsidP="00967A12">
            <w:pPr>
              <w:spacing w:line="400" w:lineRule="exact"/>
              <w:ind w:left="31" w:hangingChars="13" w:hanging="3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5" w:type="dxa"/>
            <w:noWrap/>
          </w:tcPr>
          <w:p w14:paraId="0DAA485C" w14:textId="2F264C11" w:rsidR="00382717" w:rsidRPr="00967A12" w:rsidRDefault="00E03D27" w:rsidP="000411DF">
            <w:pPr>
              <w:spacing w:line="320" w:lineRule="exact"/>
              <w:rPr>
                <w:rFonts w:eastAsia="標楷體"/>
                <w:b/>
                <w:bCs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t>原條文</w:t>
            </w:r>
            <w:r w:rsidR="0057108F" w:rsidRPr="00967A12">
              <w:rPr>
                <w:rFonts w:eastAsia="標楷體" w:hint="eastAsia"/>
                <w:szCs w:val="24"/>
              </w:rPr>
              <w:t>第三條第二項</w:t>
            </w:r>
          </w:p>
        </w:tc>
      </w:tr>
      <w:tr w:rsidR="003D7B88" w:rsidRPr="00800833" w14:paraId="7E4A9609" w14:textId="77777777" w:rsidTr="003D7B88">
        <w:trPr>
          <w:trHeight w:val="567"/>
          <w:jc w:val="center"/>
        </w:trPr>
        <w:tc>
          <w:tcPr>
            <w:tcW w:w="517" w:type="dxa"/>
            <w:noWrap/>
          </w:tcPr>
          <w:p w14:paraId="2CA74568" w14:textId="555C3FE7" w:rsidR="003D7B88" w:rsidRPr="00192CE7" w:rsidRDefault="003D7B88" w:rsidP="00967A12">
            <w:pPr>
              <w:spacing w:line="400" w:lineRule="exact"/>
              <w:jc w:val="center"/>
              <w:rPr>
                <w:rFonts w:eastAsia="標楷體"/>
                <w:bCs/>
                <w:color w:val="FF0000"/>
                <w:szCs w:val="24"/>
              </w:rPr>
            </w:pPr>
            <w:r w:rsidRPr="00192CE7">
              <w:rPr>
                <w:rFonts w:eastAsia="標楷體" w:hint="eastAsia"/>
                <w:bCs/>
                <w:color w:val="FF0000"/>
                <w:szCs w:val="24"/>
              </w:rPr>
              <w:t>第五條</w:t>
            </w:r>
          </w:p>
        </w:tc>
        <w:tc>
          <w:tcPr>
            <w:tcW w:w="3904" w:type="dxa"/>
            <w:noWrap/>
          </w:tcPr>
          <w:p w14:paraId="6906BFF5" w14:textId="77777777" w:rsidR="003D7B88" w:rsidRPr="00192CE7" w:rsidRDefault="003D7B88" w:rsidP="00967A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各級專技人員之資格，應符合下列各款條件之一：</w:t>
            </w:r>
          </w:p>
          <w:p w14:paraId="42FF1689" w14:textId="77777777" w:rsidR="003D7B88" w:rsidRPr="00192CE7" w:rsidRDefault="003D7B88" w:rsidP="00967A12">
            <w:pPr>
              <w:numPr>
                <w:ilvl w:val="0"/>
                <w:numId w:val="20"/>
              </w:numPr>
              <w:tabs>
                <w:tab w:val="left" w:pos="782"/>
              </w:tabs>
              <w:spacing w:line="400" w:lineRule="exact"/>
              <w:ind w:hanging="469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教授級專業技術人員：</w:t>
            </w:r>
          </w:p>
          <w:p w14:paraId="4F105B43" w14:textId="77777777" w:rsidR="003D7B88" w:rsidRPr="00192CE7" w:rsidRDefault="003D7B88" w:rsidP="00967A12">
            <w:pPr>
              <w:numPr>
                <w:ilvl w:val="0"/>
                <w:numId w:val="19"/>
              </w:numPr>
              <w:spacing w:line="400" w:lineRule="exact"/>
              <w:ind w:left="782" w:hanging="757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eastAsia="標楷體"/>
                <w:szCs w:val="24"/>
              </w:rPr>
              <w:t>曾</w:t>
            </w:r>
            <w:r w:rsidRPr="00192CE7">
              <w:rPr>
                <w:rFonts w:ascii="標楷體" w:eastAsia="標楷體" w:hAnsi="標楷體" w:hint="eastAsia"/>
                <w:szCs w:val="24"/>
              </w:rPr>
              <w:t>任副教授級專業技術人員三年以上，成績優良，並有具體事蹟者。</w:t>
            </w:r>
          </w:p>
          <w:p w14:paraId="4189FCD8" w14:textId="77777777" w:rsidR="003D7B88" w:rsidRPr="00192CE7" w:rsidRDefault="003D7B88" w:rsidP="00967A12">
            <w:pPr>
              <w:numPr>
                <w:ilvl w:val="0"/>
                <w:numId w:val="19"/>
              </w:numPr>
              <w:spacing w:line="400" w:lineRule="exact"/>
              <w:ind w:left="760" w:hanging="760"/>
              <w:rPr>
                <w:rFonts w:eastAsia="標楷體"/>
                <w:szCs w:val="24"/>
              </w:rPr>
            </w:pPr>
            <w:r w:rsidRPr="00192CE7">
              <w:rPr>
                <w:rFonts w:eastAsia="標楷體" w:hint="eastAsia"/>
                <w:szCs w:val="24"/>
              </w:rPr>
              <w:t>曾從事與應聘科目性質相關之專業性工作十五年以上，具有特殊造詣或成就者。但獲有國際級大獎者，其年限得酌減之。</w:t>
            </w:r>
          </w:p>
          <w:p w14:paraId="65B5CCB3" w14:textId="77777777" w:rsidR="003D7B88" w:rsidRPr="00192CE7" w:rsidRDefault="003D7B88" w:rsidP="00967A12">
            <w:pPr>
              <w:numPr>
                <w:ilvl w:val="0"/>
                <w:numId w:val="20"/>
              </w:numPr>
              <w:tabs>
                <w:tab w:val="left" w:pos="851"/>
              </w:tabs>
              <w:spacing w:line="400" w:lineRule="exact"/>
              <w:ind w:left="781" w:hanging="770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副教授級專業技術人員：</w:t>
            </w:r>
          </w:p>
          <w:p w14:paraId="0A7ACDE4" w14:textId="77777777" w:rsidR="003D7B88" w:rsidRPr="00192CE7" w:rsidRDefault="003D7B88" w:rsidP="00967A12">
            <w:pPr>
              <w:numPr>
                <w:ilvl w:val="0"/>
                <w:numId w:val="23"/>
              </w:numPr>
              <w:spacing w:line="400" w:lineRule="exact"/>
              <w:ind w:left="782" w:hanging="782"/>
              <w:rPr>
                <w:rFonts w:eastAsia="標楷體"/>
                <w:szCs w:val="24"/>
              </w:rPr>
            </w:pPr>
            <w:r w:rsidRPr="00192CE7">
              <w:rPr>
                <w:rFonts w:eastAsia="標楷體" w:hint="eastAsia"/>
                <w:szCs w:val="24"/>
              </w:rPr>
              <w:t>曾任助理教授級專業技術人員三年以上，成績優良，並有具體事蹟者。</w:t>
            </w:r>
          </w:p>
          <w:p w14:paraId="243955A8" w14:textId="77777777" w:rsidR="003D7B88" w:rsidRPr="00192CE7" w:rsidRDefault="003D7B88" w:rsidP="00967A12">
            <w:pPr>
              <w:numPr>
                <w:ilvl w:val="0"/>
                <w:numId w:val="23"/>
              </w:numPr>
              <w:spacing w:line="400" w:lineRule="exact"/>
              <w:ind w:left="782" w:hanging="782"/>
              <w:rPr>
                <w:rFonts w:eastAsia="標楷體"/>
                <w:szCs w:val="24"/>
              </w:rPr>
            </w:pPr>
            <w:r w:rsidRPr="00192CE7">
              <w:rPr>
                <w:rFonts w:eastAsia="標楷體" w:hint="eastAsia"/>
                <w:szCs w:val="24"/>
              </w:rPr>
              <w:t>曾從事與應聘科目性質相關之專業性工作十二年以上，具有特殊造詣或成就者。但獲有國際級大獎者，其年限得酌減之。</w:t>
            </w:r>
          </w:p>
          <w:p w14:paraId="4697DFDA" w14:textId="77777777" w:rsidR="003D7B88" w:rsidRPr="00192CE7" w:rsidRDefault="003D7B88" w:rsidP="00967A12">
            <w:pPr>
              <w:numPr>
                <w:ilvl w:val="0"/>
                <w:numId w:val="20"/>
              </w:numPr>
              <w:tabs>
                <w:tab w:val="left" w:pos="851"/>
              </w:tabs>
              <w:spacing w:line="400" w:lineRule="exact"/>
              <w:ind w:left="781" w:hanging="770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助理教授級專業技術人員：</w:t>
            </w:r>
          </w:p>
          <w:p w14:paraId="4B739585" w14:textId="0907DAD8" w:rsidR="003D7B88" w:rsidRPr="00192CE7" w:rsidRDefault="003D7B88" w:rsidP="00967A12">
            <w:pPr>
              <w:numPr>
                <w:ilvl w:val="0"/>
                <w:numId w:val="24"/>
              </w:numPr>
              <w:spacing w:line="400" w:lineRule="exact"/>
              <w:ind w:left="782" w:hanging="782"/>
              <w:rPr>
                <w:rFonts w:eastAsia="標楷體"/>
                <w:szCs w:val="24"/>
              </w:rPr>
            </w:pPr>
            <w:r w:rsidRPr="00192CE7">
              <w:rPr>
                <w:rFonts w:eastAsia="標楷體" w:hint="eastAsia"/>
                <w:szCs w:val="24"/>
              </w:rPr>
              <w:t>曾任講師級專業技術人員三年以上，成績優良，並有具體事蹟者。</w:t>
            </w:r>
          </w:p>
          <w:p w14:paraId="2BB52F6D" w14:textId="77777777" w:rsidR="003D7B88" w:rsidRPr="00192CE7" w:rsidRDefault="003D7B88" w:rsidP="00967A12">
            <w:pPr>
              <w:numPr>
                <w:ilvl w:val="0"/>
                <w:numId w:val="24"/>
              </w:numPr>
              <w:spacing w:line="400" w:lineRule="exact"/>
              <w:ind w:left="782" w:hanging="782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eastAsia="標楷體" w:hint="eastAsia"/>
                <w:szCs w:val="24"/>
              </w:rPr>
              <w:t>曾從事與應聘科目性質相關之專業性工作九年以上，具有特殊造詣或成就者。但獲</w:t>
            </w:r>
            <w:r w:rsidRPr="00192CE7">
              <w:rPr>
                <w:rFonts w:eastAsia="標楷體" w:hint="eastAsia"/>
                <w:szCs w:val="24"/>
              </w:rPr>
              <w:lastRenderedPageBreak/>
              <w:t>有國際級大獎者，其年限得酌減之。</w:t>
            </w:r>
          </w:p>
          <w:p w14:paraId="60E925D0" w14:textId="77777777" w:rsidR="003D7B88" w:rsidRPr="00192CE7" w:rsidRDefault="003D7B88" w:rsidP="00967A12">
            <w:pPr>
              <w:numPr>
                <w:ilvl w:val="0"/>
                <w:numId w:val="20"/>
              </w:numPr>
              <w:tabs>
                <w:tab w:val="left" w:pos="851"/>
              </w:tabs>
              <w:spacing w:line="400" w:lineRule="exact"/>
              <w:ind w:left="781" w:hanging="770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講師級專業技術人員之資格，應曾從事與應聘科目性質相關之專業性工作六年以上，具有特殊造詣或成就者。但獲有國際級大獎者，其年限得酌減之。</w:t>
            </w:r>
          </w:p>
          <w:p w14:paraId="281E73BC" w14:textId="6B5C85C2" w:rsidR="003D7B88" w:rsidRPr="00192CE7" w:rsidRDefault="003D7B88" w:rsidP="00967A12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前項所稱國際級大獎，由各級教評會審酌得獎參賽區、參賽國之多寡、年屆、得獎名次、團體或個人賽等情形，酌減專業性工作年資一至三年。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334ABBAE" w14:textId="05BA3193" w:rsidR="003D7B88" w:rsidRPr="00192CE7" w:rsidRDefault="003D7B88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92CE7">
              <w:rPr>
                <w:rFonts w:eastAsia="標楷體" w:hint="eastAsia"/>
                <w:bCs/>
                <w:szCs w:val="24"/>
              </w:rPr>
              <w:lastRenderedPageBreak/>
              <w:t>第四五六七條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1BA702F5" w14:textId="77777777" w:rsidR="003D7B88" w:rsidRPr="00192CE7" w:rsidRDefault="003D7B88" w:rsidP="00967A12">
            <w:pPr>
              <w:spacing w:line="400" w:lineRule="exact"/>
              <w:ind w:leftChars="-8" w:left="754" w:hangingChars="322" w:hanging="773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第四條</w:t>
            </w:r>
            <w:r w:rsidRPr="00192CE7">
              <w:rPr>
                <w:rFonts w:ascii="標楷體" w:eastAsia="標楷體" w:hAnsi="標楷體" w:hint="eastAsia"/>
                <w:szCs w:val="24"/>
              </w:rPr>
              <w:tab/>
              <w:t>教授級專業技術人員應具下列資格之一：</w:t>
            </w:r>
          </w:p>
          <w:p w14:paraId="712920E1" w14:textId="77777777" w:rsidR="003D7B88" w:rsidRPr="00192CE7" w:rsidRDefault="003D7B88" w:rsidP="00967A12">
            <w:pPr>
              <w:numPr>
                <w:ilvl w:val="0"/>
                <w:numId w:val="15"/>
              </w:numPr>
              <w:spacing w:line="400" w:lineRule="exact"/>
              <w:ind w:left="595" w:hanging="56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曾任副教授級專業技術人員三年以上，成績優良，並有具體事蹟者。</w:t>
            </w:r>
          </w:p>
          <w:p w14:paraId="51DF5A90" w14:textId="77777777" w:rsidR="003D7B88" w:rsidRPr="00192CE7" w:rsidRDefault="003D7B88" w:rsidP="00967A12">
            <w:pPr>
              <w:numPr>
                <w:ilvl w:val="0"/>
                <w:numId w:val="15"/>
              </w:numPr>
              <w:spacing w:line="400" w:lineRule="exact"/>
              <w:ind w:left="595" w:hanging="56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曾從事與應聘科目性質相關之專業性工作十五年以上，具有特殊造詣或成就者。但獲有國際級大獎者，其年限得酌減之。</w:t>
            </w:r>
          </w:p>
          <w:p w14:paraId="00A225DA" w14:textId="77777777" w:rsidR="003D7B88" w:rsidRPr="00192CE7" w:rsidRDefault="003D7B88" w:rsidP="00967A12">
            <w:pPr>
              <w:spacing w:line="400" w:lineRule="exact"/>
              <w:ind w:leftChars="-20" w:left="662" w:hangingChars="296" w:hanging="71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第五條</w:t>
            </w:r>
            <w:r w:rsidRPr="00192CE7">
              <w:rPr>
                <w:rFonts w:ascii="標楷體" w:eastAsia="標楷體" w:hAnsi="標楷體" w:hint="eastAsia"/>
                <w:szCs w:val="24"/>
              </w:rPr>
              <w:tab/>
              <w:t>副教授級專業技術人員應具有下列資格之一：</w:t>
            </w:r>
          </w:p>
          <w:p w14:paraId="6792C002" w14:textId="77777777" w:rsidR="003D7B88" w:rsidRPr="00192CE7" w:rsidRDefault="003D7B88" w:rsidP="00967A12">
            <w:pPr>
              <w:numPr>
                <w:ilvl w:val="0"/>
                <w:numId w:val="16"/>
              </w:numPr>
              <w:spacing w:line="400" w:lineRule="exact"/>
              <w:ind w:left="595" w:hanging="56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曾任助理教授級專業技術人員三年以上，成績優良，並有具體事蹟者。</w:t>
            </w:r>
          </w:p>
          <w:p w14:paraId="03DD0631" w14:textId="77777777" w:rsidR="003D7B88" w:rsidRPr="00192CE7" w:rsidRDefault="003D7B88" w:rsidP="00967A12">
            <w:pPr>
              <w:numPr>
                <w:ilvl w:val="0"/>
                <w:numId w:val="16"/>
              </w:numPr>
              <w:spacing w:line="400" w:lineRule="exact"/>
              <w:ind w:left="595" w:hanging="56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曾從事與應聘科目性質相關之專業性工作十二年以上，具有特殊造詣或成就者。但獲有國際級大獎者，其年限得酌減之。</w:t>
            </w:r>
          </w:p>
          <w:p w14:paraId="51432F3C" w14:textId="77777777" w:rsidR="003D7B88" w:rsidRPr="00192CE7" w:rsidRDefault="003D7B88" w:rsidP="00967A12">
            <w:pPr>
              <w:spacing w:line="400" w:lineRule="exact"/>
              <w:ind w:left="871" w:hangingChars="363" w:hanging="871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第六條</w:t>
            </w:r>
            <w:r w:rsidRPr="00192CE7">
              <w:rPr>
                <w:rFonts w:ascii="標楷體" w:eastAsia="標楷體" w:hAnsi="標楷體" w:hint="eastAsia"/>
                <w:szCs w:val="24"/>
              </w:rPr>
              <w:tab/>
              <w:t>助理教授級專業技術人員應具有下列資格之一：</w:t>
            </w:r>
          </w:p>
          <w:p w14:paraId="1977FBCC" w14:textId="4C5B463E" w:rsidR="003D7B88" w:rsidRPr="00192CE7" w:rsidRDefault="003D7B88" w:rsidP="00967A12">
            <w:pPr>
              <w:numPr>
                <w:ilvl w:val="0"/>
                <w:numId w:val="17"/>
              </w:numPr>
              <w:spacing w:line="400" w:lineRule="exact"/>
              <w:ind w:left="581" w:hanging="581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曾任講師級專業技術人員三年以上，成績優良，並有具體事蹟者。</w:t>
            </w:r>
          </w:p>
          <w:p w14:paraId="5B7DFFDB" w14:textId="77777777" w:rsidR="003D7B88" w:rsidRPr="00192CE7" w:rsidRDefault="003D7B88" w:rsidP="00967A12">
            <w:pPr>
              <w:numPr>
                <w:ilvl w:val="0"/>
                <w:numId w:val="17"/>
              </w:numPr>
              <w:spacing w:line="400" w:lineRule="exact"/>
              <w:ind w:left="581" w:hanging="581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曾從事與應聘科目性質相關之專業性工作九年以上，具有</w:t>
            </w:r>
            <w:r w:rsidRPr="00192CE7">
              <w:rPr>
                <w:rFonts w:ascii="標楷體" w:eastAsia="標楷體" w:hAnsi="標楷體" w:hint="eastAsia"/>
                <w:szCs w:val="24"/>
              </w:rPr>
              <w:lastRenderedPageBreak/>
              <w:t>特殊造詣或成就者。但獲有國際級大獎者，其年限得酌減之。</w:t>
            </w:r>
          </w:p>
          <w:p w14:paraId="0BCD4962" w14:textId="77777777" w:rsidR="003D7B88" w:rsidRPr="00192CE7" w:rsidRDefault="003D7B88" w:rsidP="00967A12">
            <w:pPr>
              <w:spacing w:line="400" w:lineRule="exact"/>
              <w:ind w:leftChars="-19" w:left="753" w:hangingChars="333" w:hanging="799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第七條</w:t>
            </w:r>
            <w:r w:rsidRPr="00192CE7">
              <w:rPr>
                <w:rFonts w:ascii="標楷體" w:eastAsia="標楷體" w:hAnsi="標楷體" w:hint="eastAsia"/>
                <w:szCs w:val="24"/>
              </w:rPr>
              <w:tab/>
              <w:t>教授級專業技術人員應具下列資格之一：</w:t>
            </w:r>
          </w:p>
          <w:p w14:paraId="5D84D964" w14:textId="77777777" w:rsidR="003D7B88" w:rsidRPr="00192CE7" w:rsidRDefault="003D7B88" w:rsidP="00967A12">
            <w:pPr>
              <w:numPr>
                <w:ilvl w:val="0"/>
                <w:numId w:val="30"/>
              </w:numPr>
              <w:spacing w:line="400" w:lineRule="exact"/>
              <w:ind w:left="595" w:hanging="56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曾任副教授級專業技術人員三年以上，成績優良，並有具體事蹟者。</w:t>
            </w:r>
          </w:p>
          <w:p w14:paraId="550EC785" w14:textId="4C94B249" w:rsidR="003D7B88" w:rsidRPr="00192CE7" w:rsidRDefault="003D7B88" w:rsidP="00967A12">
            <w:pPr>
              <w:numPr>
                <w:ilvl w:val="0"/>
                <w:numId w:val="30"/>
              </w:numPr>
              <w:spacing w:line="400" w:lineRule="exact"/>
              <w:ind w:left="595" w:hanging="560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曾從事與應聘科目性質相關之專業性工作十五年以上，具有特殊造詣或成就者。但獲有國際級大獎者，其年限得酌減之。</w:t>
            </w:r>
          </w:p>
        </w:tc>
        <w:tc>
          <w:tcPr>
            <w:tcW w:w="1775" w:type="dxa"/>
            <w:noWrap/>
          </w:tcPr>
          <w:p w14:paraId="3BC413C4" w14:textId="3F235CD7" w:rsidR="003D7B88" w:rsidRPr="00967A12" w:rsidRDefault="003D7B88" w:rsidP="0057108F">
            <w:pPr>
              <w:pStyle w:val="a7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lastRenderedPageBreak/>
              <w:t>合併原第四、五、六、七條文。</w:t>
            </w:r>
          </w:p>
          <w:p w14:paraId="1E4481D2" w14:textId="77777777" w:rsidR="003D7B88" w:rsidRPr="00967A12" w:rsidRDefault="003D7B88" w:rsidP="0057108F">
            <w:pPr>
              <w:pStyle w:val="a7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t>增列國際級大獎之定義。</w:t>
            </w:r>
          </w:p>
          <w:p w14:paraId="330913D5" w14:textId="3E9AC94A" w:rsidR="003D7B88" w:rsidRPr="00967A12" w:rsidRDefault="003D7B88" w:rsidP="0057108F">
            <w:pPr>
              <w:pStyle w:val="a7"/>
              <w:spacing w:line="320" w:lineRule="exact"/>
              <w:ind w:leftChars="0" w:left="360"/>
              <w:rPr>
                <w:rFonts w:eastAsia="標楷體"/>
                <w:b/>
                <w:bCs/>
                <w:szCs w:val="24"/>
              </w:rPr>
            </w:pPr>
          </w:p>
        </w:tc>
      </w:tr>
      <w:tr w:rsidR="00967A12" w:rsidRPr="00755736" w14:paraId="087020EB" w14:textId="77777777" w:rsidTr="00967A12">
        <w:trPr>
          <w:trHeight w:val="558"/>
          <w:jc w:val="center"/>
        </w:trPr>
        <w:tc>
          <w:tcPr>
            <w:tcW w:w="517" w:type="dxa"/>
            <w:noWrap/>
          </w:tcPr>
          <w:p w14:paraId="28F5A142" w14:textId="077F0FA4" w:rsidR="00097D8F" w:rsidRPr="00192CE7" w:rsidRDefault="00097D8F" w:rsidP="00967A12">
            <w:pPr>
              <w:spacing w:line="400" w:lineRule="exact"/>
              <w:jc w:val="center"/>
              <w:rPr>
                <w:rFonts w:eastAsia="標楷體"/>
                <w:bCs/>
                <w:color w:val="FF0000"/>
                <w:szCs w:val="24"/>
              </w:rPr>
            </w:pPr>
            <w:r w:rsidRPr="00192CE7">
              <w:rPr>
                <w:rFonts w:eastAsia="標楷體" w:hint="eastAsia"/>
                <w:bCs/>
                <w:color w:val="FF0000"/>
                <w:szCs w:val="24"/>
              </w:rPr>
              <w:t>第六條</w:t>
            </w:r>
          </w:p>
        </w:tc>
        <w:tc>
          <w:tcPr>
            <w:tcW w:w="3904" w:type="dxa"/>
            <w:noWrap/>
          </w:tcPr>
          <w:p w14:paraId="5289A936" w14:textId="77777777" w:rsidR="00097D8F" w:rsidRPr="00192CE7" w:rsidRDefault="00097D8F" w:rsidP="00967A12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本辦法所稱專業性工作，其審查及認定原則如下：</w:t>
            </w:r>
            <w:r w:rsidRPr="00192CE7">
              <w:rPr>
                <w:rFonts w:ascii="標楷體" w:eastAsia="標楷體" w:hAnsi="標楷體"/>
                <w:color w:val="FF0000"/>
                <w:szCs w:val="24"/>
                <w:u w:val="single"/>
              </w:rPr>
              <w:t xml:space="preserve"> </w:t>
            </w:r>
          </w:p>
          <w:p w14:paraId="062D5C28" w14:textId="23D0415A" w:rsidR="00097D8F" w:rsidRPr="00192CE7" w:rsidRDefault="00097D8F" w:rsidP="00967A12">
            <w:pPr>
              <w:numPr>
                <w:ilvl w:val="0"/>
                <w:numId w:val="25"/>
              </w:numPr>
              <w:spacing w:line="400" w:lineRule="exact"/>
              <w:ind w:left="711" w:hanging="70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曾任國內外公私立機構，其職務與擬聘系級單位之教學科目相關，並附有證明文件者。但學校教職員、行政機關公務人員（技術職系除外）、軍職人員等不予採計。</w:t>
            </w:r>
          </w:p>
          <w:p w14:paraId="1A5100D2" w14:textId="77777777" w:rsidR="00097D8F" w:rsidRPr="00192CE7" w:rsidRDefault="00097D8F" w:rsidP="00967A12">
            <w:pPr>
              <w:numPr>
                <w:ilvl w:val="0"/>
                <w:numId w:val="25"/>
              </w:numPr>
              <w:spacing w:line="400" w:lineRule="exact"/>
              <w:ind w:left="711" w:hanging="700"/>
              <w:rPr>
                <w:rFonts w:eastAsia="標楷體"/>
                <w:b/>
                <w:bCs/>
                <w:color w:val="FF0000"/>
                <w:szCs w:val="24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自行創作而無任職機構者，應檢附足資證明專業性工作年資之參展或得獎作品紀錄，或其他具體證明專業工作年資之證明文件。</w:t>
            </w:r>
          </w:p>
          <w:p w14:paraId="1CFEE8D6" w14:textId="338FA4B6" w:rsidR="00097D8F" w:rsidRPr="00192CE7" w:rsidRDefault="00670770" w:rsidP="00967A12">
            <w:pPr>
              <w:numPr>
                <w:ilvl w:val="0"/>
                <w:numId w:val="25"/>
              </w:numPr>
              <w:spacing w:line="400" w:lineRule="exact"/>
              <w:ind w:left="708" w:hanging="697"/>
              <w:rPr>
                <w:rFonts w:eastAsia="標楷體"/>
                <w:b/>
                <w:bCs/>
                <w:color w:val="FF0000"/>
                <w:szCs w:val="24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高二職級聘任者，需曾任公立大學、優久大學聯盟或中台灣大學系統之學校且其所任職級相當，並附有證明文件者。但曾任國內外上市(櫃)公司總經理以上職務，或具有相當社會影響力與專業成就者，經校教評會審查認定符合相當專業資格者，不在此限</w:t>
            </w:r>
            <w:r w:rsidR="0043699B"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7A3727D0" w14:textId="7C46A059" w:rsidR="00097D8F" w:rsidRPr="00192CE7" w:rsidRDefault="00097D8F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2FE8B34D" w14:textId="084949CE" w:rsidR="00097D8F" w:rsidRPr="00192CE7" w:rsidRDefault="00097D8F" w:rsidP="00967A12">
            <w:pPr>
              <w:spacing w:line="400" w:lineRule="exact"/>
              <w:ind w:left="872" w:hangingChars="363" w:hanging="872"/>
              <w:jc w:val="both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775" w:type="dxa"/>
            <w:noWrap/>
          </w:tcPr>
          <w:p w14:paraId="42808466" w14:textId="5764202F" w:rsidR="00097D8F" w:rsidRPr="00967A12" w:rsidRDefault="007F70F1" w:rsidP="007F70F1">
            <w:pPr>
              <w:pStyle w:val="a7"/>
              <w:numPr>
                <w:ilvl w:val="0"/>
                <w:numId w:val="37"/>
              </w:num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t>本條新增</w:t>
            </w:r>
          </w:p>
          <w:p w14:paraId="0D3369D7" w14:textId="3A9C4183" w:rsidR="007F70F1" w:rsidRPr="00967A12" w:rsidRDefault="007F70F1" w:rsidP="007E6E73">
            <w:pPr>
              <w:pStyle w:val="a7"/>
              <w:numPr>
                <w:ilvl w:val="0"/>
                <w:numId w:val="37"/>
              </w:num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Chars="0"/>
              <w:jc w:val="both"/>
              <w:rPr>
                <w:rFonts w:eastAsia="標楷體"/>
                <w:bCs/>
                <w:szCs w:val="24"/>
              </w:rPr>
            </w:pPr>
            <w:r w:rsidRPr="00967A12">
              <w:rPr>
                <w:rFonts w:eastAsia="標楷體" w:hint="eastAsia"/>
                <w:bCs/>
                <w:szCs w:val="24"/>
              </w:rPr>
              <w:t>增列專業性工作之審查及認定原則。</w:t>
            </w:r>
          </w:p>
        </w:tc>
      </w:tr>
      <w:tr w:rsidR="00967A12" w:rsidRPr="00755736" w14:paraId="48CE8BB1" w14:textId="77777777" w:rsidTr="00967A12">
        <w:trPr>
          <w:trHeight w:val="558"/>
          <w:jc w:val="center"/>
        </w:trPr>
        <w:tc>
          <w:tcPr>
            <w:tcW w:w="517" w:type="dxa"/>
            <w:noWrap/>
          </w:tcPr>
          <w:p w14:paraId="04FBE42E" w14:textId="14CE94ED" w:rsidR="00382717" w:rsidRPr="00192CE7" w:rsidRDefault="00382717" w:rsidP="00967A12">
            <w:pPr>
              <w:spacing w:line="400" w:lineRule="exact"/>
              <w:jc w:val="center"/>
              <w:rPr>
                <w:rFonts w:eastAsia="標楷體"/>
                <w:bCs/>
                <w:color w:val="FF0000"/>
                <w:szCs w:val="24"/>
              </w:rPr>
            </w:pPr>
            <w:r w:rsidRPr="00192CE7">
              <w:rPr>
                <w:rFonts w:eastAsia="標楷體" w:hint="eastAsia"/>
                <w:bCs/>
                <w:color w:val="FF0000"/>
                <w:szCs w:val="24"/>
              </w:rPr>
              <w:t>第</w:t>
            </w:r>
            <w:r w:rsidRPr="00192CE7">
              <w:rPr>
                <w:rFonts w:eastAsia="標楷體" w:hint="eastAsia"/>
                <w:bCs/>
                <w:color w:val="FF0000"/>
                <w:szCs w:val="24"/>
              </w:rPr>
              <w:lastRenderedPageBreak/>
              <w:t>七條</w:t>
            </w:r>
          </w:p>
        </w:tc>
        <w:tc>
          <w:tcPr>
            <w:tcW w:w="3904" w:type="dxa"/>
            <w:noWrap/>
          </w:tcPr>
          <w:p w14:paraId="7B26234A" w14:textId="77777777" w:rsidR="00382717" w:rsidRPr="00192CE7" w:rsidRDefault="00382717" w:rsidP="00967A12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lastRenderedPageBreak/>
              <w:t>具體事蹟、特殊造詣或成就之認定，</w:t>
            </w: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lastRenderedPageBreak/>
              <w:t>各系得依專業領域另訂標準，提經院教師評審委員會通過後施行：</w:t>
            </w:r>
            <w:r w:rsidRPr="00192CE7">
              <w:rPr>
                <w:rFonts w:ascii="標楷體" w:eastAsia="標楷體" w:hAnsi="標楷體"/>
                <w:color w:val="FF0000"/>
                <w:szCs w:val="24"/>
                <w:u w:val="single"/>
              </w:rPr>
              <w:t xml:space="preserve"> </w:t>
            </w:r>
          </w:p>
          <w:p w14:paraId="0124DAD4" w14:textId="77777777" w:rsidR="00382717" w:rsidRPr="00192CE7" w:rsidRDefault="00382717" w:rsidP="00967A12">
            <w:pPr>
              <w:numPr>
                <w:ilvl w:val="0"/>
                <w:numId w:val="28"/>
              </w:numPr>
              <w:spacing w:line="400" w:lineRule="exact"/>
              <w:ind w:left="720" w:hanging="720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具體事蹟：在相關領域有國際性或全國性五件以上傑出表現，符合教學需要，有證明文件或紀錄者。</w:t>
            </w:r>
          </w:p>
          <w:p w14:paraId="7DEB9DC0" w14:textId="77777777" w:rsidR="00382717" w:rsidRPr="00192CE7" w:rsidRDefault="00382717" w:rsidP="00967A12">
            <w:pPr>
              <w:numPr>
                <w:ilvl w:val="0"/>
                <w:numId w:val="28"/>
              </w:numPr>
              <w:spacing w:line="400" w:lineRule="exact"/>
              <w:ind w:left="720" w:hanging="720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特殊造詣或成就：</w:t>
            </w:r>
            <w:r w:rsidRPr="00192CE7">
              <w:rPr>
                <w:rFonts w:ascii="標楷體" w:eastAsia="標楷體" w:hAnsi="標楷體"/>
                <w:color w:val="FF0000"/>
                <w:szCs w:val="24"/>
                <w:u w:val="single"/>
              </w:rPr>
              <w:t xml:space="preserve"> </w:t>
            </w:r>
          </w:p>
          <w:p w14:paraId="530FCB6E" w14:textId="77777777" w:rsidR="00382717" w:rsidRPr="00192CE7" w:rsidRDefault="00382717" w:rsidP="00967A12">
            <w:pPr>
              <w:numPr>
                <w:ilvl w:val="0"/>
                <w:numId w:val="27"/>
              </w:numPr>
              <w:spacing w:line="400" w:lineRule="exact"/>
              <w:ind w:left="740" w:hanging="720"/>
              <w:jc w:val="both"/>
              <w:rPr>
                <w:rFonts w:eastAsia="標楷體"/>
                <w:color w:val="FF0000"/>
                <w:szCs w:val="24"/>
                <w:u w:val="single"/>
              </w:rPr>
            </w:pP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曾獲國內外具公信力、權威性機構之大獎者。</w:t>
            </w:r>
          </w:p>
          <w:p w14:paraId="1FFC29EF" w14:textId="4F1A65D1" w:rsidR="00382717" w:rsidRPr="00192CE7" w:rsidRDefault="00382717" w:rsidP="00967A12">
            <w:pPr>
              <w:numPr>
                <w:ilvl w:val="0"/>
                <w:numId w:val="27"/>
              </w:numPr>
              <w:spacing w:line="400" w:lineRule="exact"/>
              <w:ind w:left="740" w:hanging="720"/>
              <w:jc w:val="both"/>
              <w:rPr>
                <w:rFonts w:eastAsia="標楷體"/>
                <w:color w:val="FF0000"/>
                <w:szCs w:val="24"/>
                <w:u w:val="single"/>
              </w:rPr>
            </w:pP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作品或相關著作受邀國際、國內重要機構展覽、典藏者。</w:t>
            </w:r>
          </w:p>
          <w:p w14:paraId="4E6D6092" w14:textId="1D2141F9" w:rsidR="00382717" w:rsidRPr="00192CE7" w:rsidRDefault="00382717" w:rsidP="00967A12">
            <w:pPr>
              <w:numPr>
                <w:ilvl w:val="0"/>
                <w:numId w:val="27"/>
              </w:numPr>
              <w:spacing w:line="400" w:lineRule="exact"/>
              <w:ind w:left="740" w:hanging="720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作</w:t>
            </w:r>
            <w:r w:rsidR="00D214A7" w:rsidRPr="00192CE7">
              <w:rPr>
                <w:rFonts w:eastAsia="標楷體" w:hint="eastAsia"/>
                <w:color w:val="FF0000"/>
                <w:szCs w:val="24"/>
                <w:u w:val="single"/>
              </w:rPr>
              <w:t>品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或相關著作受國內、國際之專業評論公開肯定者。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551EB327" w14:textId="77777777" w:rsidR="00382717" w:rsidRPr="00192CE7" w:rsidRDefault="00382717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15CBD183" w14:textId="77777777" w:rsidR="00382717" w:rsidRPr="00192CE7" w:rsidRDefault="00382717" w:rsidP="00967A12">
            <w:pPr>
              <w:spacing w:line="400" w:lineRule="exact"/>
              <w:ind w:left="872" w:hangingChars="363" w:hanging="872"/>
              <w:jc w:val="both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775" w:type="dxa"/>
            <w:noWrap/>
          </w:tcPr>
          <w:p w14:paraId="23B447D1" w14:textId="548860EE" w:rsidR="00382717" w:rsidRPr="00967A12" w:rsidRDefault="007E6E73" w:rsidP="007E6E73">
            <w:pPr>
              <w:pStyle w:val="a7"/>
              <w:numPr>
                <w:ilvl w:val="0"/>
                <w:numId w:val="39"/>
              </w:num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t>本條新增</w:t>
            </w:r>
          </w:p>
          <w:p w14:paraId="4731491C" w14:textId="07691881" w:rsidR="007E6E73" w:rsidRPr="00967A12" w:rsidRDefault="007E6E73" w:rsidP="007E6E73">
            <w:pPr>
              <w:pStyle w:val="a7"/>
              <w:numPr>
                <w:ilvl w:val="0"/>
                <w:numId w:val="39"/>
              </w:num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Chars="0"/>
              <w:jc w:val="both"/>
              <w:rPr>
                <w:rFonts w:eastAsia="標楷體"/>
                <w:bCs/>
                <w:szCs w:val="24"/>
              </w:rPr>
            </w:pPr>
            <w:r w:rsidRPr="00967A12">
              <w:rPr>
                <w:rFonts w:eastAsia="標楷體" w:hint="eastAsia"/>
                <w:bCs/>
                <w:szCs w:val="24"/>
              </w:rPr>
              <w:lastRenderedPageBreak/>
              <w:t>增列具體事蹟、特殊造詣成就之認定。</w:t>
            </w:r>
          </w:p>
        </w:tc>
      </w:tr>
      <w:tr w:rsidR="00967A12" w14:paraId="16D9B376" w14:textId="77777777" w:rsidTr="00967A12">
        <w:trPr>
          <w:trHeight w:val="558"/>
          <w:jc w:val="center"/>
        </w:trPr>
        <w:tc>
          <w:tcPr>
            <w:tcW w:w="517" w:type="dxa"/>
            <w:noWrap/>
          </w:tcPr>
          <w:p w14:paraId="1FB18DE7" w14:textId="51D92126" w:rsidR="000551B3" w:rsidRPr="00192CE7" w:rsidRDefault="000551B3" w:rsidP="00967A12">
            <w:pPr>
              <w:spacing w:line="400" w:lineRule="exact"/>
              <w:jc w:val="center"/>
              <w:rPr>
                <w:rFonts w:eastAsia="標楷體"/>
                <w:bCs/>
                <w:color w:val="C00000"/>
                <w:szCs w:val="24"/>
              </w:rPr>
            </w:pPr>
            <w:r w:rsidRPr="00192CE7">
              <w:rPr>
                <w:rFonts w:eastAsia="標楷體" w:hint="eastAsia"/>
                <w:bCs/>
                <w:szCs w:val="24"/>
              </w:rPr>
              <w:lastRenderedPageBreak/>
              <w:t>第九條</w:t>
            </w:r>
          </w:p>
        </w:tc>
        <w:tc>
          <w:tcPr>
            <w:tcW w:w="3904" w:type="dxa"/>
            <w:noWrap/>
          </w:tcPr>
          <w:p w14:paraId="16E16AC3" w14:textId="77777777" w:rsidR="000551B3" w:rsidRPr="00192CE7" w:rsidRDefault="000551B3" w:rsidP="00967A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專業技術人員之資格審定、聘任、聘期及升等有關事項，準用本校教師聘任規定，由本校教師評審委員會辦理。</w:t>
            </w:r>
          </w:p>
          <w:p w14:paraId="722F1E5D" w14:textId="77777777" w:rsidR="00F25F52" w:rsidRPr="00192CE7" w:rsidRDefault="00F25F52" w:rsidP="00967A12">
            <w:pPr>
              <w:spacing w:line="400" w:lineRule="exact"/>
              <w:jc w:val="both"/>
              <w:rPr>
                <w:rFonts w:eastAsia="標楷體"/>
                <w:color w:val="FF0000"/>
                <w:szCs w:val="24"/>
                <w:u w:val="single"/>
              </w:rPr>
            </w:pP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新聘專任專業技術人員，其專門著作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(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作品、成就證明或技術報告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)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之認定由校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送請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五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位校外專家學者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審查，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教授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級須四位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評分達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80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分以上、副教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授級須四位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評分達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75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分以上、助理教授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級須四位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評分達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70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分以上，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即通過外審部分，始得提校教評會審議；若有兩位評分未達各級標準，聘任案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即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不</w:t>
            </w:r>
            <w:r w:rsidRPr="00192CE7">
              <w:rPr>
                <w:rFonts w:eastAsia="標楷體"/>
                <w:color w:val="FF0000"/>
                <w:szCs w:val="24"/>
                <w:u w:val="single"/>
              </w:rPr>
              <w:t>通過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。</w:t>
            </w:r>
          </w:p>
          <w:p w14:paraId="665DC20F" w14:textId="3A97F217" w:rsidR="000551B3" w:rsidRPr="00192CE7" w:rsidRDefault="000551B3" w:rsidP="00967A12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Cs w:val="24"/>
                <w:u w:val="single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兼任專業技術人員之具體事蹟、特殊造詣或成就之認定，應</w:t>
            </w:r>
            <w:r w:rsidRPr="00192CE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由院</w:t>
            </w:r>
            <w:r w:rsidRPr="00192CE7">
              <w:rPr>
                <w:rFonts w:ascii="標楷體" w:eastAsia="標楷體" w:hAnsi="標楷體" w:hint="eastAsia"/>
                <w:szCs w:val="24"/>
              </w:rPr>
              <w:t>先送請校外學者或專家二人以上審查。</w:t>
            </w:r>
            <w:r w:rsidRPr="00192CE7">
              <w:rPr>
                <w:rFonts w:ascii="標楷體" w:eastAsia="標楷體" w:hAnsi="標楷體"/>
                <w:szCs w:val="24"/>
              </w:rPr>
              <w:t>若一人評為符合聘任資格，一人評為不符合聘任資格，則送請第三人審查，若有二人評為符合聘任資格者即予通過</w:t>
            </w:r>
            <w:r w:rsidRPr="0019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35EAB981" w14:textId="4B8AAF3F" w:rsidR="000551B3" w:rsidRPr="00192CE7" w:rsidRDefault="000551B3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92CE7">
              <w:rPr>
                <w:rFonts w:eastAsia="標楷體" w:hint="eastAsia"/>
                <w:bCs/>
                <w:szCs w:val="24"/>
              </w:rPr>
              <w:t>第九條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4133B894" w14:textId="77777777" w:rsidR="00E90E50" w:rsidRPr="00192CE7" w:rsidRDefault="00E90E50" w:rsidP="00967A12">
            <w:pPr>
              <w:spacing w:line="400" w:lineRule="exact"/>
              <w:ind w:left="26" w:hangingChars="11" w:hanging="26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專業技術人員之資格審定、聘任、聘期及升等有關事項，準用本校教師聘任規定，由本校教師評審委員會辦理。</w:t>
            </w:r>
          </w:p>
          <w:p w14:paraId="7EC5B483" w14:textId="77777777" w:rsidR="00E90E50" w:rsidRPr="00192CE7" w:rsidRDefault="00E90E50" w:rsidP="00967A12">
            <w:pPr>
              <w:spacing w:line="400" w:lineRule="exact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 w:rsidRPr="00192CE7">
              <w:rPr>
                <w:rFonts w:ascii="標楷體" w:eastAsia="標楷體" w:hAnsi="標楷體" w:hint="eastAsia"/>
                <w:strike/>
                <w:color w:val="FF0000"/>
                <w:szCs w:val="24"/>
              </w:rPr>
              <w:t>本辦法有關具體事蹟、特殊造詣或成就之認定及國際級大獎之界定與年限酌減標準，由教師評審委員會認定之。</w:t>
            </w:r>
          </w:p>
          <w:p w14:paraId="08DB4D9A" w14:textId="01AB051F" w:rsidR="000551B3" w:rsidRPr="00192CE7" w:rsidRDefault="00E90E50" w:rsidP="00967A12">
            <w:pPr>
              <w:spacing w:line="400" w:lineRule="exact"/>
              <w:ind w:left="26" w:hangingChars="11" w:hanging="26"/>
              <w:rPr>
                <w:rFonts w:eastAsia="標楷體"/>
                <w:b/>
                <w:bCs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兼任專業技術人員之具體事蹟、特殊造詣或成就之認定，應先送請校外學者或專家二人以上審查。</w:t>
            </w:r>
            <w:r w:rsidRPr="00192CE7">
              <w:rPr>
                <w:rFonts w:ascii="標楷體" w:eastAsia="標楷體" w:hAnsi="標楷體"/>
                <w:szCs w:val="24"/>
              </w:rPr>
              <w:t>若一人評為符合聘任資格，一人評為不符合聘任資格，則送請第三人審查，若有二人評為符合聘任資格者即予通過</w:t>
            </w:r>
            <w:r w:rsidRPr="0019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75" w:type="dxa"/>
            <w:noWrap/>
          </w:tcPr>
          <w:p w14:paraId="603CC836" w14:textId="6486D2B8" w:rsidR="000551B3" w:rsidRPr="00967A12" w:rsidRDefault="00CD5CA2" w:rsidP="006B3CA9">
            <w:p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bCs/>
                <w:szCs w:val="24"/>
              </w:rPr>
            </w:pPr>
            <w:r w:rsidRPr="00967A12">
              <w:rPr>
                <w:rFonts w:eastAsia="標楷體" w:hint="eastAsia"/>
                <w:szCs w:val="24"/>
              </w:rPr>
              <w:t>原於本校教師升等辦法載明之新聘專任專技人員審查標準，增列於本辦法。</w:t>
            </w:r>
          </w:p>
        </w:tc>
      </w:tr>
      <w:tr w:rsidR="00967A12" w14:paraId="618A9679" w14:textId="77777777" w:rsidTr="00967A12">
        <w:trPr>
          <w:trHeight w:val="558"/>
          <w:jc w:val="center"/>
        </w:trPr>
        <w:tc>
          <w:tcPr>
            <w:tcW w:w="517" w:type="dxa"/>
            <w:noWrap/>
          </w:tcPr>
          <w:p w14:paraId="6399FEB0" w14:textId="38508B7B" w:rsidR="00A40064" w:rsidRPr="00192CE7" w:rsidRDefault="00A40064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92CE7">
              <w:rPr>
                <w:rFonts w:eastAsia="標楷體" w:hint="eastAsia"/>
                <w:bCs/>
                <w:szCs w:val="24"/>
              </w:rPr>
              <w:t>第十條</w:t>
            </w:r>
          </w:p>
        </w:tc>
        <w:tc>
          <w:tcPr>
            <w:tcW w:w="3904" w:type="dxa"/>
            <w:noWrap/>
          </w:tcPr>
          <w:p w14:paraId="25CCA159" w14:textId="34B60009" w:rsidR="00A40064" w:rsidRPr="00192CE7" w:rsidRDefault="00A40064" w:rsidP="00967A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eastAsia="標楷體"/>
                <w:szCs w:val="24"/>
              </w:rPr>
              <w:t>兼任專業技術人員具有新具體事蹟、特殊造詣或成就者，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仍應符合擔任該職級任教滿</w:t>
            </w:r>
            <w:r w:rsidR="00E93C96" w:rsidRPr="00E93C96">
              <w:rPr>
                <w:rFonts w:eastAsia="標楷體" w:hint="eastAsia"/>
                <w:color w:val="FF0000"/>
                <w:szCs w:val="24"/>
                <w:u w:val="single"/>
              </w:rPr>
              <w:t>六</w:t>
            </w:r>
            <w:r w:rsidRPr="00192CE7">
              <w:rPr>
                <w:rFonts w:eastAsia="標楷體" w:hint="eastAsia"/>
                <w:color w:val="FF0000"/>
                <w:szCs w:val="24"/>
                <w:u w:val="single"/>
              </w:rPr>
              <w:t>年，</w:t>
            </w:r>
            <w:r w:rsidRPr="00192CE7">
              <w:rPr>
                <w:rFonts w:eastAsia="標楷體"/>
                <w:szCs w:val="24"/>
              </w:rPr>
              <w:t>由院送校外學者或專家五人審查認定，並經三級教評會審議通過後，改聘為較高</w:t>
            </w:r>
            <w:r w:rsidRPr="00192CE7">
              <w:rPr>
                <w:rFonts w:eastAsia="標楷體"/>
                <w:szCs w:val="24"/>
              </w:rPr>
              <w:lastRenderedPageBreak/>
              <w:t>職級之專業技術人員。改聘教授須四位評分達</w:t>
            </w:r>
            <w:r w:rsidRPr="00192CE7">
              <w:rPr>
                <w:rFonts w:eastAsia="標楷體"/>
                <w:szCs w:val="24"/>
              </w:rPr>
              <w:t>80</w:t>
            </w:r>
            <w:r w:rsidRPr="00192CE7">
              <w:rPr>
                <w:rFonts w:eastAsia="標楷體"/>
                <w:szCs w:val="24"/>
              </w:rPr>
              <w:t>分以上、改聘副教授須四位評分達</w:t>
            </w:r>
            <w:r w:rsidRPr="00192CE7">
              <w:rPr>
                <w:rFonts w:eastAsia="標楷體"/>
                <w:szCs w:val="24"/>
              </w:rPr>
              <w:t>75</w:t>
            </w:r>
            <w:r w:rsidRPr="00192CE7">
              <w:rPr>
                <w:rFonts w:eastAsia="標楷體"/>
                <w:szCs w:val="24"/>
              </w:rPr>
              <w:t>分以上、改聘助理教授須四位評分達</w:t>
            </w:r>
            <w:r w:rsidRPr="00192CE7">
              <w:rPr>
                <w:rFonts w:eastAsia="標楷體"/>
                <w:szCs w:val="24"/>
              </w:rPr>
              <w:t>70</w:t>
            </w:r>
            <w:r w:rsidRPr="00192CE7">
              <w:rPr>
                <w:rFonts w:eastAsia="標楷體"/>
                <w:szCs w:val="24"/>
              </w:rPr>
              <w:t>分以上，</w:t>
            </w:r>
            <w:r w:rsidRPr="00192CE7">
              <w:rPr>
                <w:rFonts w:ascii="標楷體" w:eastAsia="標楷體" w:hAnsi="標楷體" w:hint="eastAsia"/>
                <w:szCs w:val="24"/>
              </w:rPr>
              <w:t>若有兩位評分未達各級標準，改聘案</w:t>
            </w:r>
            <w:r w:rsidRPr="00192CE7">
              <w:rPr>
                <w:rFonts w:ascii="標楷體" w:eastAsia="標楷體" w:hAnsi="標楷體"/>
                <w:szCs w:val="24"/>
              </w:rPr>
              <w:t>即</w:t>
            </w:r>
            <w:r w:rsidRPr="00192CE7">
              <w:rPr>
                <w:rFonts w:ascii="標楷體" w:eastAsia="標楷體" w:hAnsi="標楷體" w:hint="eastAsia"/>
                <w:szCs w:val="24"/>
              </w:rPr>
              <w:t>不</w:t>
            </w:r>
            <w:r w:rsidRPr="00192CE7">
              <w:rPr>
                <w:rFonts w:ascii="標楷體" w:eastAsia="標楷體" w:hAnsi="標楷體"/>
                <w:szCs w:val="24"/>
              </w:rPr>
              <w:t>通過。</w:t>
            </w:r>
            <w:r w:rsidRPr="00192CE7">
              <w:rPr>
                <w:rFonts w:ascii="標楷體" w:eastAsia="標楷體" w:hAnsi="標楷體" w:hint="eastAsia"/>
                <w:szCs w:val="24"/>
              </w:rPr>
              <w:t>審查表另定之。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noWrap/>
          </w:tcPr>
          <w:p w14:paraId="36568D07" w14:textId="35D5D289" w:rsidR="00A40064" w:rsidRPr="00192CE7" w:rsidRDefault="00A40064" w:rsidP="00967A12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92CE7">
              <w:rPr>
                <w:rFonts w:eastAsia="標楷體" w:hint="eastAsia"/>
                <w:bCs/>
                <w:szCs w:val="24"/>
              </w:rPr>
              <w:lastRenderedPageBreak/>
              <w:t>第十條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noWrap/>
          </w:tcPr>
          <w:p w14:paraId="316D1A23" w14:textId="7A61B421" w:rsidR="00A40064" w:rsidRPr="00192CE7" w:rsidRDefault="00A40064" w:rsidP="00967A12">
            <w:pPr>
              <w:spacing w:line="400" w:lineRule="exact"/>
              <w:ind w:left="26" w:hangingChars="11" w:hanging="26"/>
              <w:rPr>
                <w:rFonts w:ascii="標楷體" w:eastAsia="標楷體" w:hAnsi="標楷體"/>
                <w:szCs w:val="24"/>
              </w:rPr>
            </w:pPr>
            <w:r w:rsidRPr="00192CE7">
              <w:rPr>
                <w:rFonts w:ascii="標楷體" w:eastAsia="標楷體" w:hAnsi="標楷體" w:hint="eastAsia"/>
                <w:szCs w:val="24"/>
              </w:rPr>
              <w:t>兼任專業技術人員具有新具體事蹟、特殊造詣或成就者，由院送校外學者或專家五人審查認定，並經三級教評會審議通過後，改聘為較高職級之專業技術人員。改聘</w:t>
            </w:r>
            <w:r w:rsidRPr="00192CE7">
              <w:rPr>
                <w:rFonts w:eastAsia="標楷體"/>
                <w:szCs w:val="24"/>
              </w:rPr>
              <w:t>教授</w:t>
            </w:r>
            <w:r w:rsidRPr="00192CE7">
              <w:rPr>
                <w:rFonts w:eastAsia="標楷體"/>
                <w:szCs w:val="24"/>
              </w:rPr>
              <w:lastRenderedPageBreak/>
              <w:t>須四位評分達</w:t>
            </w:r>
            <w:r w:rsidRPr="00192CE7">
              <w:rPr>
                <w:rFonts w:eastAsia="標楷體"/>
                <w:szCs w:val="24"/>
              </w:rPr>
              <w:t>80</w:t>
            </w:r>
            <w:r w:rsidRPr="00192CE7">
              <w:rPr>
                <w:rFonts w:eastAsia="標楷體"/>
                <w:szCs w:val="24"/>
              </w:rPr>
              <w:t>分以上、</w:t>
            </w:r>
            <w:r w:rsidRPr="00192CE7">
              <w:rPr>
                <w:rFonts w:eastAsia="標楷體" w:hint="eastAsia"/>
                <w:szCs w:val="24"/>
              </w:rPr>
              <w:t>改聘</w:t>
            </w:r>
            <w:r w:rsidRPr="00192CE7">
              <w:rPr>
                <w:rFonts w:eastAsia="標楷體"/>
                <w:szCs w:val="24"/>
              </w:rPr>
              <w:t>副教授須四位評分達</w:t>
            </w:r>
            <w:r w:rsidRPr="00192CE7">
              <w:rPr>
                <w:rFonts w:eastAsia="標楷體"/>
                <w:szCs w:val="24"/>
              </w:rPr>
              <w:t>75</w:t>
            </w:r>
            <w:r w:rsidRPr="00192CE7">
              <w:rPr>
                <w:rFonts w:eastAsia="標楷體"/>
                <w:szCs w:val="24"/>
              </w:rPr>
              <w:t>分以上</w:t>
            </w:r>
            <w:r w:rsidRPr="00192CE7">
              <w:rPr>
                <w:rFonts w:eastAsia="標楷體" w:hint="eastAsia"/>
                <w:szCs w:val="24"/>
              </w:rPr>
              <w:t>、改聘助理教授須四位評分達</w:t>
            </w:r>
            <w:r w:rsidRPr="00192CE7">
              <w:rPr>
                <w:rFonts w:eastAsia="標楷體" w:hint="eastAsia"/>
                <w:szCs w:val="24"/>
              </w:rPr>
              <w:t>70</w:t>
            </w:r>
            <w:r w:rsidRPr="00192CE7">
              <w:rPr>
                <w:rFonts w:eastAsia="標楷體" w:hint="eastAsia"/>
                <w:szCs w:val="24"/>
              </w:rPr>
              <w:t>分以上，若有兩位評分未達各級標準，改聘案</w:t>
            </w:r>
            <w:r w:rsidRPr="00192CE7">
              <w:rPr>
                <w:rFonts w:eastAsia="標楷體"/>
                <w:szCs w:val="24"/>
              </w:rPr>
              <w:t>即</w:t>
            </w:r>
            <w:r w:rsidRPr="00192CE7">
              <w:rPr>
                <w:rFonts w:eastAsia="標楷體" w:hint="eastAsia"/>
                <w:szCs w:val="24"/>
              </w:rPr>
              <w:t>不</w:t>
            </w:r>
            <w:r w:rsidRPr="00192CE7">
              <w:rPr>
                <w:rFonts w:eastAsia="標楷體"/>
                <w:szCs w:val="24"/>
              </w:rPr>
              <w:t>通過</w:t>
            </w:r>
            <w:r w:rsidRPr="00192CE7">
              <w:rPr>
                <w:rFonts w:ascii="新細明體" w:hAnsi="新細明體"/>
                <w:bCs/>
                <w:szCs w:val="24"/>
              </w:rPr>
              <w:t>。</w:t>
            </w:r>
            <w:r w:rsidRPr="00192CE7">
              <w:rPr>
                <w:rFonts w:ascii="標楷體" w:eastAsia="標楷體" w:hAnsi="標楷體" w:hint="eastAsia"/>
                <w:szCs w:val="24"/>
              </w:rPr>
              <w:t>審查表另定之。</w:t>
            </w:r>
          </w:p>
        </w:tc>
        <w:tc>
          <w:tcPr>
            <w:tcW w:w="1775" w:type="dxa"/>
            <w:noWrap/>
          </w:tcPr>
          <w:p w14:paraId="6F5C5912" w14:textId="77777777" w:rsidR="00A40064" w:rsidRPr="00967A12" w:rsidRDefault="0031377B" w:rsidP="006B3CA9">
            <w:p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bCs/>
                <w:szCs w:val="24"/>
              </w:rPr>
            </w:pPr>
            <w:r w:rsidRPr="00967A12">
              <w:rPr>
                <w:rFonts w:eastAsia="標楷體" w:hint="eastAsia"/>
                <w:bCs/>
                <w:szCs w:val="24"/>
              </w:rPr>
              <w:lastRenderedPageBreak/>
              <w:t>依本校實際形況修訂</w:t>
            </w:r>
          </w:p>
          <w:p w14:paraId="41908D54" w14:textId="79A5F95D" w:rsidR="0031377B" w:rsidRPr="00967A12" w:rsidRDefault="0031377B" w:rsidP="006B3CA9">
            <w:pPr>
              <w:tabs>
                <w:tab w:val="left" w:pos="404"/>
                <w:tab w:val="left" w:pos="522"/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bCs/>
                <w:szCs w:val="24"/>
              </w:rPr>
            </w:pPr>
          </w:p>
        </w:tc>
      </w:tr>
    </w:tbl>
    <w:p w14:paraId="6211EAFE" w14:textId="77777777" w:rsidR="00192CE7" w:rsidRPr="002C52BB" w:rsidRDefault="00192CE7" w:rsidP="00192CE7">
      <w:pPr>
        <w:spacing w:beforeLines="50" w:before="180"/>
        <w:ind w:firstLineChars="100" w:firstLine="300"/>
        <w:jc w:val="center"/>
        <w:rPr>
          <w:rFonts w:ascii="標楷體" w:eastAsia="標楷體" w:hAnsi="Arial" w:cs="Arial"/>
          <w:b/>
          <w:color w:val="000000"/>
          <w:spacing w:val="15"/>
          <w:sz w:val="28"/>
          <w:szCs w:val="18"/>
        </w:rPr>
      </w:pPr>
      <w:bookmarkStart w:id="0" w:name="_Hlk211965019"/>
      <w:r w:rsidRPr="002C52BB">
        <w:rPr>
          <w:rFonts w:ascii="標楷體" w:eastAsia="標楷體" w:hAnsi="標楷體" w:cs="Arial"/>
          <w:bCs/>
          <w:color w:val="000000"/>
          <w:spacing w:val="15"/>
          <w:sz w:val="27"/>
          <w:szCs w:val="27"/>
        </w:rPr>
        <w:t>(本修訂對照表僅供對照參考用，正式條文仍以修訂後辦法全文為準)</w:t>
      </w:r>
    </w:p>
    <w:bookmarkEnd w:id="0"/>
    <w:p w14:paraId="50AB999B" w14:textId="1393C386" w:rsidR="00232EB0" w:rsidRPr="00192CE7" w:rsidRDefault="00232EB0" w:rsidP="00BC4760">
      <w:pPr>
        <w:widowControl/>
        <w:spacing w:line="300" w:lineRule="exact"/>
        <w:jc w:val="center"/>
        <w:rPr>
          <w:rFonts w:ascii="標楷體" w:eastAsia="標楷體" w:hAnsi="標楷體"/>
        </w:rPr>
      </w:pPr>
    </w:p>
    <w:sectPr w:rsidR="00232EB0" w:rsidRPr="00192CE7" w:rsidSect="00820A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20E8" w14:textId="77777777" w:rsidR="004770E2" w:rsidRDefault="004770E2" w:rsidP="00820A2A">
      <w:r>
        <w:separator/>
      </w:r>
    </w:p>
  </w:endnote>
  <w:endnote w:type="continuationSeparator" w:id="0">
    <w:p w14:paraId="5B59F499" w14:textId="77777777" w:rsidR="004770E2" w:rsidRDefault="004770E2" w:rsidP="0082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E393" w14:textId="77777777" w:rsidR="004770E2" w:rsidRDefault="004770E2" w:rsidP="00820A2A">
      <w:r>
        <w:separator/>
      </w:r>
    </w:p>
  </w:footnote>
  <w:footnote w:type="continuationSeparator" w:id="0">
    <w:p w14:paraId="7D1FEDE9" w14:textId="77777777" w:rsidR="004770E2" w:rsidRDefault="004770E2" w:rsidP="0082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3ED"/>
    <w:multiLevelType w:val="hybridMultilevel"/>
    <w:tmpl w:val="41E4486E"/>
    <w:lvl w:ilvl="0" w:tplc="33D6F55A">
      <w:start w:val="1"/>
      <w:numFmt w:val="taiwaneseCountingThousand"/>
      <w:lvlText w:val="(%1)、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93305F"/>
    <w:multiLevelType w:val="hybridMultilevel"/>
    <w:tmpl w:val="C712B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B6B22"/>
    <w:multiLevelType w:val="hybridMultilevel"/>
    <w:tmpl w:val="10DC4A52"/>
    <w:lvl w:ilvl="0" w:tplc="90742B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414D3"/>
    <w:multiLevelType w:val="hybridMultilevel"/>
    <w:tmpl w:val="B7A49F60"/>
    <w:lvl w:ilvl="0" w:tplc="9806A566">
      <w:start w:val="1"/>
      <w:numFmt w:val="taiwaneseCountingThousand"/>
      <w:lvlText w:val="(%1)、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32532"/>
    <w:multiLevelType w:val="hybridMultilevel"/>
    <w:tmpl w:val="C712B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E0C2B"/>
    <w:multiLevelType w:val="hybridMultilevel"/>
    <w:tmpl w:val="BA1C65C8"/>
    <w:lvl w:ilvl="0" w:tplc="0532B338">
      <w:start w:val="1"/>
      <w:numFmt w:val="taiwaneseCountingThousand"/>
      <w:lvlText w:val="%1、"/>
      <w:lvlJc w:val="left"/>
      <w:pPr>
        <w:ind w:left="480" w:hanging="480"/>
      </w:pPr>
      <w:rPr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5307A5"/>
    <w:multiLevelType w:val="hybridMultilevel"/>
    <w:tmpl w:val="9D80E160"/>
    <w:lvl w:ilvl="0" w:tplc="8D7EB6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823CD2"/>
    <w:multiLevelType w:val="hybridMultilevel"/>
    <w:tmpl w:val="0E2ACE8A"/>
    <w:lvl w:ilvl="0" w:tplc="C7AC914E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65152"/>
    <w:multiLevelType w:val="hybridMultilevel"/>
    <w:tmpl w:val="D6669F60"/>
    <w:lvl w:ilvl="0" w:tplc="45FAE9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2729B"/>
    <w:multiLevelType w:val="hybridMultilevel"/>
    <w:tmpl w:val="F6B65594"/>
    <w:lvl w:ilvl="0" w:tplc="0DC21C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54AEC"/>
    <w:multiLevelType w:val="hybridMultilevel"/>
    <w:tmpl w:val="69C62786"/>
    <w:lvl w:ilvl="0" w:tplc="210AE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6B6592"/>
    <w:multiLevelType w:val="hybridMultilevel"/>
    <w:tmpl w:val="D4847246"/>
    <w:lvl w:ilvl="0" w:tplc="5972E8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35047"/>
    <w:multiLevelType w:val="hybridMultilevel"/>
    <w:tmpl w:val="A328B06C"/>
    <w:lvl w:ilvl="0" w:tplc="18060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4D4540"/>
    <w:multiLevelType w:val="hybridMultilevel"/>
    <w:tmpl w:val="C712B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F61CA0"/>
    <w:multiLevelType w:val="hybridMultilevel"/>
    <w:tmpl w:val="F60E309E"/>
    <w:lvl w:ilvl="0" w:tplc="35F204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CA2E44"/>
    <w:multiLevelType w:val="hybridMultilevel"/>
    <w:tmpl w:val="CABC3B78"/>
    <w:lvl w:ilvl="0" w:tplc="CC6E0FFE">
      <w:start w:val="1"/>
      <w:numFmt w:val="taiwaneseCountingThousand"/>
      <w:lvlText w:val="(%1)、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5D0"/>
    <w:multiLevelType w:val="hybridMultilevel"/>
    <w:tmpl w:val="F22071F4"/>
    <w:lvl w:ilvl="0" w:tplc="B3A68E42">
      <w:start w:val="3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D2B00"/>
    <w:multiLevelType w:val="hybridMultilevel"/>
    <w:tmpl w:val="615C9E14"/>
    <w:lvl w:ilvl="0" w:tplc="5F6E8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222F21"/>
    <w:multiLevelType w:val="hybridMultilevel"/>
    <w:tmpl w:val="C49C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8C4906"/>
    <w:multiLevelType w:val="hybridMultilevel"/>
    <w:tmpl w:val="F698E780"/>
    <w:lvl w:ilvl="0" w:tplc="A79C9CFA">
      <w:start w:val="1"/>
      <w:numFmt w:val="taiwaneseCountingThousand"/>
      <w:lvlText w:val="(%1)、"/>
      <w:lvlJc w:val="left"/>
      <w:pPr>
        <w:ind w:left="1898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43501553"/>
    <w:multiLevelType w:val="hybridMultilevel"/>
    <w:tmpl w:val="B8A2B6E8"/>
    <w:lvl w:ilvl="0" w:tplc="6AF6E054">
      <w:start w:val="1"/>
      <w:numFmt w:val="taiwaneseCountingThousand"/>
      <w:lvlText w:val="(%1)、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E06C5A"/>
    <w:multiLevelType w:val="hybridMultilevel"/>
    <w:tmpl w:val="D89C7072"/>
    <w:lvl w:ilvl="0" w:tplc="525A9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C7BD3"/>
    <w:multiLevelType w:val="hybridMultilevel"/>
    <w:tmpl w:val="A89E490A"/>
    <w:lvl w:ilvl="0" w:tplc="40404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354515"/>
    <w:multiLevelType w:val="hybridMultilevel"/>
    <w:tmpl w:val="4AC253EA"/>
    <w:lvl w:ilvl="0" w:tplc="D18C6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4A1FC6"/>
    <w:multiLevelType w:val="hybridMultilevel"/>
    <w:tmpl w:val="2A42A874"/>
    <w:lvl w:ilvl="0" w:tplc="14F689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D27AA"/>
    <w:multiLevelType w:val="hybridMultilevel"/>
    <w:tmpl w:val="B672BF02"/>
    <w:lvl w:ilvl="0" w:tplc="C7720A0A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9B6D4C"/>
    <w:multiLevelType w:val="hybridMultilevel"/>
    <w:tmpl w:val="C712B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202100"/>
    <w:multiLevelType w:val="hybridMultilevel"/>
    <w:tmpl w:val="B8A2B6E8"/>
    <w:lvl w:ilvl="0" w:tplc="6AF6E054">
      <w:start w:val="1"/>
      <w:numFmt w:val="taiwaneseCountingThousand"/>
      <w:lvlText w:val="(%1)、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A7446E"/>
    <w:multiLevelType w:val="hybridMultilevel"/>
    <w:tmpl w:val="C712B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14023D"/>
    <w:multiLevelType w:val="hybridMultilevel"/>
    <w:tmpl w:val="D5826C22"/>
    <w:lvl w:ilvl="0" w:tplc="F492053A">
      <w:start w:val="1"/>
      <w:numFmt w:val="taiwaneseCountingThousand"/>
      <w:lvlText w:val="(%1)、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DC4D48"/>
    <w:multiLevelType w:val="hybridMultilevel"/>
    <w:tmpl w:val="C49C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543A44"/>
    <w:multiLevelType w:val="hybridMultilevel"/>
    <w:tmpl w:val="F196C8DC"/>
    <w:lvl w:ilvl="0" w:tplc="CB32EB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EC379A"/>
    <w:multiLevelType w:val="hybridMultilevel"/>
    <w:tmpl w:val="BC7EDF14"/>
    <w:lvl w:ilvl="0" w:tplc="9020A39E">
      <w:start w:val="1"/>
      <w:numFmt w:val="taiwaneseCountingThousand"/>
      <w:lvlText w:val="%1、"/>
      <w:lvlJc w:val="left"/>
      <w:pPr>
        <w:ind w:left="480" w:hanging="480"/>
      </w:pPr>
      <w:rPr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8175CF"/>
    <w:multiLevelType w:val="hybridMultilevel"/>
    <w:tmpl w:val="10DC4A52"/>
    <w:lvl w:ilvl="0" w:tplc="90742B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16600"/>
    <w:multiLevelType w:val="hybridMultilevel"/>
    <w:tmpl w:val="C712B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450C8D"/>
    <w:multiLevelType w:val="hybridMultilevel"/>
    <w:tmpl w:val="9836E87E"/>
    <w:lvl w:ilvl="0" w:tplc="84C86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681A9A"/>
    <w:multiLevelType w:val="hybridMultilevel"/>
    <w:tmpl w:val="4342C64E"/>
    <w:lvl w:ilvl="0" w:tplc="13D67F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53010D"/>
    <w:multiLevelType w:val="hybridMultilevel"/>
    <w:tmpl w:val="3C644C72"/>
    <w:lvl w:ilvl="0" w:tplc="16C0386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386BA1"/>
    <w:multiLevelType w:val="hybridMultilevel"/>
    <w:tmpl w:val="E4DC67C6"/>
    <w:lvl w:ilvl="0" w:tplc="90929F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30"/>
  </w:num>
  <w:num w:numId="7">
    <w:abstractNumId w:val="18"/>
  </w:num>
  <w:num w:numId="8">
    <w:abstractNumId w:val="31"/>
  </w:num>
  <w:num w:numId="9">
    <w:abstractNumId w:val="24"/>
  </w:num>
  <w:num w:numId="10">
    <w:abstractNumId w:val="5"/>
  </w:num>
  <w:num w:numId="11">
    <w:abstractNumId w:val="35"/>
  </w:num>
  <w:num w:numId="12">
    <w:abstractNumId w:val="23"/>
  </w:num>
  <w:num w:numId="13">
    <w:abstractNumId w:val="7"/>
  </w:num>
  <w:num w:numId="14">
    <w:abstractNumId w:val="16"/>
  </w:num>
  <w:num w:numId="15">
    <w:abstractNumId w:val="13"/>
  </w:num>
  <w:num w:numId="16">
    <w:abstractNumId w:val="34"/>
  </w:num>
  <w:num w:numId="17">
    <w:abstractNumId w:val="1"/>
  </w:num>
  <w:num w:numId="18">
    <w:abstractNumId w:val="32"/>
  </w:num>
  <w:num w:numId="19">
    <w:abstractNumId w:val="29"/>
  </w:num>
  <w:num w:numId="20">
    <w:abstractNumId w:val="11"/>
  </w:num>
  <w:num w:numId="21">
    <w:abstractNumId w:val="2"/>
  </w:num>
  <w:num w:numId="22">
    <w:abstractNumId w:val="33"/>
  </w:num>
  <w:num w:numId="23">
    <w:abstractNumId w:val="3"/>
  </w:num>
  <w:num w:numId="24">
    <w:abstractNumId w:val="15"/>
  </w:num>
  <w:num w:numId="25">
    <w:abstractNumId w:val="38"/>
  </w:num>
  <w:num w:numId="26">
    <w:abstractNumId w:val="25"/>
  </w:num>
  <w:num w:numId="27">
    <w:abstractNumId w:val="19"/>
  </w:num>
  <w:num w:numId="28">
    <w:abstractNumId w:val="36"/>
  </w:num>
  <w:num w:numId="29">
    <w:abstractNumId w:val="17"/>
  </w:num>
  <w:num w:numId="30">
    <w:abstractNumId w:val="28"/>
  </w:num>
  <w:num w:numId="31">
    <w:abstractNumId w:val="4"/>
  </w:num>
  <w:num w:numId="32">
    <w:abstractNumId w:val="37"/>
  </w:num>
  <w:num w:numId="33">
    <w:abstractNumId w:val="26"/>
  </w:num>
  <w:num w:numId="34">
    <w:abstractNumId w:val="0"/>
  </w:num>
  <w:num w:numId="35">
    <w:abstractNumId w:val="20"/>
  </w:num>
  <w:num w:numId="36">
    <w:abstractNumId w:val="27"/>
  </w:num>
  <w:num w:numId="37">
    <w:abstractNumId w:val="12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CD"/>
    <w:rsid w:val="000145C3"/>
    <w:rsid w:val="0002667C"/>
    <w:rsid w:val="000311AF"/>
    <w:rsid w:val="00035052"/>
    <w:rsid w:val="000411DF"/>
    <w:rsid w:val="000411E1"/>
    <w:rsid w:val="0004222D"/>
    <w:rsid w:val="00045559"/>
    <w:rsid w:val="00045F8F"/>
    <w:rsid w:val="00047697"/>
    <w:rsid w:val="00047C74"/>
    <w:rsid w:val="00051E1F"/>
    <w:rsid w:val="00053453"/>
    <w:rsid w:val="000538E1"/>
    <w:rsid w:val="000551B3"/>
    <w:rsid w:val="00075003"/>
    <w:rsid w:val="00075F8C"/>
    <w:rsid w:val="00077AAA"/>
    <w:rsid w:val="000810F3"/>
    <w:rsid w:val="00082E71"/>
    <w:rsid w:val="000840DE"/>
    <w:rsid w:val="0009459F"/>
    <w:rsid w:val="00097D8F"/>
    <w:rsid w:val="000C15F4"/>
    <w:rsid w:val="000D48F3"/>
    <w:rsid w:val="000D643C"/>
    <w:rsid w:val="000D77B5"/>
    <w:rsid w:val="000D7921"/>
    <w:rsid w:val="000F33D3"/>
    <w:rsid w:val="00100106"/>
    <w:rsid w:val="001439CD"/>
    <w:rsid w:val="001462B1"/>
    <w:rsid w:val="001468D0"/>
    <w:rsid w:val="00155C1E"/>
    <w:rsid w:val="00155F82"/>
    <w:rsid w:val="001603D5"/>
    <w:rsid w:val="00160B25"/>
    <w:rsid w:val="0017168F"/>
    <w:rsid w:val="00173025"/>
    <w:rsid w:val="00174F43"/>
    <w:rsid w:val="001758DD"/>
    <w:rsid w:val="001924FD"/>
    <w:rsid w:val="00192CE7"/>
    <w:rsid w:val="00196DC0"/>
    <w:rsid w:val="001A1CEF"/>
    <w:rsid w:val="001A677F"/>
    <w:rsid w:val="001B11DE"/>
    <w:rsid w:val="001B1F99"/>
    <w:rsid w:val="001B4055"/>
    <w:rsid w:val="001B694C"/>
    <w:rsid w:val="001B77EE"/>
    <w:rsid w:val="001C2C89"/>
    <w:rsid w:val="001D3660"/>
    <w:rsid w:val="001D5CC2"/>
    <w:rsid w:val="001F3A94"/>
    <w:rsid w:val="001F61D2"/>
    <w:rsid w:val="002008B3"/>
    <w:rsid w:val="00202162"/>
    <w:rsid w:val="00211252"/>
    <w:rsid w:val="00212606"/>
    <w:rsid w:val="00212F73"/>
    <w:rsid w:val="00216206"/>
    <w:rsid w:val="00217987"/>
    <w:rsid w:val="00223577"/>
    <w:rsid w:val="00232B46"/>
    <w:rsid w:val="00232EB0"/>
    <w:rsid w:val="00236E99"/>
    <w:rsid w:val="00247577"/>
    <w:rsid w:val="00254357"/>
    <w:rsid w:val="0025695B"/>
    <w:rsid w:val="00256D28"/>
    <w:rsid w:val="002667B8"/>
    <w:rsid w:val="00277A7D"/>
    <w:rsid w:val="002822E7"/>
    <w:rsid w:val="002944F8"/>
    <w:rsid w:val="002A5548"/>
    <w:rsid w:val="002A66AC"/>
    <w:rsid w:val="002A697C"/>
    <w:rsid w:val="002B1E40"/>
    <w:rsid w:val="002B23C8"/>
    <w:rsid w:val="002B5D11"/>
    <w:rsid w:val="002E15DD"/>
    <w:rsid w:val="002E654D"/>
    <w:rsid w:val="002E65D4"/>
    <w:rsid w:val="002F568B"/>
    <w:rsid w:val="002F5B9C"/>
    <w:rsid w:val="002F7E86"/>
    <w:rsid w:val="00304E4C"/>
    <w:rsid w:val="0031377B"/>
    <w:rsid w:val="003166DF"/>
    <w:rsid w:val="003206CF"/>
    <w:rsid w:val="00323072"/>
    <w:rsid w:val="003234BC"/>
    <w:rsid w:val="00323632"/>
    <w:rsid w:val="00324AF2"/>
    <w:rsid w:val="00325102"/>
    <w:rsid w:val="003343BE"/>
    <w:rsid w:val="003356D6"/>
    <w:rsid w:val="0034164A"/>
    <w:rsid w:val="003451AB"/>
    <w:rsid w:val="0035565C"/>
    <w:rsid w:val="0035664A"/>
    <w:rsid w:val="00365A71"/>
    <w:rsid w:val="003679C3"/>
    <w:rsid w:val="0037346A"/>
    <w:rsid w:val="0037535E"/>
    <w:rsid w:val="00381ED8"/>
    <w:rsid w:val="00382717"/>
    <w:rsid w:val="0038628E"/>
    <w:rsid w:val="0038783D"/>
    <w:rsid w:val="00390379"/>
    <w:rsid w:val="00391239"/>
    <w:rsid w:val="003A1060"/>
    <w:rsid w:val="003A5B1A"/>
    <w:rsid w:val="003A69CE"/>
    <w:rsid w:val="003B570E"/>
    <w:rsid w:val="003C632B"/>
    <w:rsid w:val="003C72FA"/>
    <w:rsid w:val="003D448C"/>
    <w:rsid w:val="003D7B88"/>
    <w:rsid w:val="003E650C"/>
    <w:rsid w:val="003E7E81"/>
    <w:rsid w:val="003F093A"/>
    <w:rsid w:val="003F2D67"/>
    <w:rsid w:val="003F2F3A"/>
    <w:rsid w:val="003F2FBD"/>
    <w:rsid w:val="003F31E0"/>
    <w:rsid w:val="003F3BC6"/>
    <w:rsid w:val="00417C3A"/>
    <w:rsid w:val="0043205E"/>
    <w:rsid w:val="0043699B"/>
    <w:rsid w:val="00446F40"/>
    <w:rsid w:val="00453BEC"/>
    <w:rsid w:val="004543E7"/>
    <w:rsid w:val="004737C9"/>
    <w:rsid w:val="00476B24"/>
    <w:rsid w:val="004770E2"/>
    <w:rsid w:val="00480926"/>
    <w:rsid w:val="00490614"/>
    <w:rsid w:val="00496C19"/>
    <w:rsid w:val="004A591A"/>
    <w:rsid w:val="004B30A6"/>
    <w:rsid w:val="004C6382"/>
    <w:rsid w:val="004D2F34"/>
    <w:rsid w:val="004E069D"/>
    <w:rsid w:val="004E37AF"/>
    <w:rsid w:val="004F1659"/>
    <w:rsid w:val="004F22E7"/>
    <w:rsid w:val="004F2EB9"/>
    <w:rsid w:val="005046C3"/>
    <w:rsid w:val="005131B7"/>
    <w:rsid w:val="005161A6"/>
    <w:rsid w:val="005167A1"/>
    <w:rsid w:val="00517F16"/>
    <w:rsid w:val="00523D46"/>
    <w:rsid w:val="005341D4"/>
    <w:rsid w:val="00536DA8"/>
    <w:rsid w:val="005508D6"/>
    <w:rsid w:val="005538CF"/>
    <w:rsid w:val="005662B8"/>
    <w:rsid w:val="0057108F"/>
    <w:rsid w:val="0057148D"/>
    <w:rsid w:val="0057676B"/>
    <w:rsid w:val="00577444"/>
    <w:rsid w:val="005803BC"/>
    <w:rsid w:val="00580AD8"/>
    <w:rsid w:val="00593430"/>
    <w:rsid w:val="00595705"/>
    <w:rsid w:val="005A1752"/>
    <w:rsid w:val="005A306D"/>
    <w:rsid w:val="005A60EF"/>
    <w:rsid w:val="005B6DFE"/>
    <w:rsid w:val="005C0C1D"/>
    <w:rsid w:val="005E6BDB"/>
    <w:rsid w:val="005E6FA3"/>
    <w:rsid w:val="005F1BEB"/>
    <w:rsid w:val="006005D9"/>
    <w:rsid w:val="00605055"/>
    <w:rsid w:val="0061006D"/>
    <w:rsid w:val="00610892"/>
    <w:rsid w:val="006118C5"/>
    <w:rsid w:val="0061709D"/>
    <w:rsid w:val="00627535"/>
    <w:rsid w:val="00643D51"/>
    <w:rsid w:val="006603DD"/>
    <w:rsid w:val="00660CF3"/>
    <w:rsid w:val="00660D37"/>
    <w:rsid w:val="00670770"/>
    <w:rsid w:val="0067771B"/>
    <w:rsid w:val="00681764"/>
    <w:rsid w:val="00690A0E"/>
    <w:rsid w:val="006B3433"/>
    <w:rsid w:val="006B3D9B"/>
    <w:rsid w:val="006B5D79"/>
    <w:rsid w:val="006B70D9"/>
    <w:rsid w:val="006D110B"/>
    <w:rsid w:val="006D49CE"/>
    <w:rsid w:val="006D6900"/>
    <w:rsid w:val="006E2970"/>
    <w:rsid w:val="006F7996"/>
    <w:rsid w:val="00700344"/>
    <w:rsid w:val="00702B57"/>
    <w:rsid w:val="00706E28"/>
    <w:rsid w:val="007179FD"/>
    <w:rsid w:val="00737A2C"/>
    <w:rsid w:val="007456E6"/>
    <w:rsid w:val="0075126E"/>
    <w:rsid w:val="007535BC"/>
    <w:rsid w:val="00753D3D"/>
    <w:rsid w:val="00755736"/>
    <w:rsid w:val="00756690"/>
    <w:rsid w:val="00762346"/>
    <w:rsid w:val="00765A6E"/>
    <w:rsid w:val="00771EC4"/>
    <w:rsid w:val="00772319"/>
    <w:rsid w:val="00777692"/>
    <w:rsid w:val="00782E81"/>
    <w:rsid w:val="007A010E"/>
    <w:rsid w:val="007A0EA8"/>
    <w:rsid w:val="007A43C4"/>
    <w:rsid w:val="007B28AB"/>
    <w:rsid w:val="007C7460"/>
    <w:rsid w:val="007E42AC"/>
    <w:rsid w:val="007E6E73"/>
    <w:rsid w:val="007F6F40"/>
    <w:rsid w:val="007F70F1"/>
    <w:rsid w:val="00800833"/>
    <w:rsid w:val="0080361B"/>
    <w:rsid w:val="0080388E"/>
    <w:rsid w:val="00810F16"/>
    <w:rsid w:val="00815F23"/>
    <w:rsid w:val="00820A2A"/>
    <w:rsid w:val="0082563E"/>
    <w:rsid w:val="00831AC8"/>
    <w:rsid w:val="00835D85"/>
    <w:rsid w:val="008408E5"/>
    <w:rsid w:val="00843567"/>
    <w:rsid w:val="00854579"/>
    <w:rsid w:val="00861D08"/>
    <w:rsid w:val="008630E6"/>
    <w:rsid w:val="00863EE5"/>
    <w:rsid w:val="00864C81"/>
    <w:rsid w:val="0086595F"/>
    <w:rsid w:val="00875183"/>
    <w:rsid w:val="0087622E"/>
    <w:rsid w:val="00886FBE"/>
    <w:rsid w:val="00895EC0"/>
    <w:rsid w:val="008A050F"/>
    <w:rsid w:val="008A6622"/>
    <w:rsid w:val="008B056C"/>
    <w:rsid w:val="008C0356"/>
    <w:rsid w:val="008C2835"/>
    <w:rsid w:val="008D6E2F"/>
    <w:rsid w:val="009048B9"/>
    <w:rsid w:val="00904F97"/>
    <w:rsid w:val="0091111A"/>
    <w:rsid w:val="009236C7"/>
    <w:rsid w:val="00935A4B"/>
    <w:rsid w:val="00940FF3"/>
    <w:rsid w:val="00957F28"/>
    <w:rsid w:val="0096113A"/>
    <w:rsid w:val="009626CA"/>
    <w:rsid w:val="00966E8F"/>
    <w:rsid w:val="00967A12"/>
    <w:rsid w:val="00977C6F"/>
    <w:rsid w:val="009947AD"/>
    <w:rsid w:val="009A3E5B"/>
    <w:rsid w:val="009A487F"/>
    <w:rsid w:val="009B065D"/>
    <w:rsid w:val="009D4892"/>
    <w:rsid w:val="009E2ACC"/>
    <w:rsid w:val="009E376F"/>
    <w:rsid w:val="009E5B6C"/>
    <w:rsid w:val="009E5F4B"/>
    <w:rsid w:val="009F3BD6"/>
    <w:rsid w:val="009F6C35"/>
    <w:rsid w:val="009F79BB"/>
    <w:rsid w:val="009F7A7C"/>
    <w:rsid w:val="00A011C3"/>
    <w:rsid w:val="00A02F69"/>
    <w:rsid w:val="00A03506"/>
    <w:rsid w:val="00A035A8"/>
    <w:rsid w:val="00A33D31"/>
    <w:rsid w:val="00A3408B"/>
    <w:rsid w:val="00A40064"/>
    <w:rsid w:val="00A43510"/>
    <w:rsid w:val="00A44BB5"/>
    <w:rsid w:val="00A456EA"/>
    <w:rsid w:val="00A553E7"/>
    <w:rsid w:val="00A55FE6"/>
    <w:rsid w:val="00A60A6A"/>
    <w:rsid w:val="00A61AB8"/>
    <w:rsid w:val="00A623EC"/>
    <w:rsid w:val="00A80D31"/>
    <w:rsid w:val="00A86C7D"/>
    <w:rsid w:val="00A9455A"/>
    <w:rsid w:val="00AA6AF3"/>
    <w:rsid w:val="00AA71C5"/>
    <w:rsid w:val="00AB49DA"/>
    <w:rsid w:val="00AC7F62"/>
    <w:rsid w:val="00AD0F12"/>
    <w:rsid w:val="00AE6111"/>
    <w:rsid w:val="00AF1005"/>
    <w:rsid w:val="00AF4E55"/>
    <w:rsid w:val="00B019AF"/>
    <w:rsid w:val="00B02B2A"/>
    <w:rsid w:val="00B17000"/>
    <w:rsid w:val="00B21A5E"/>
    <w:rsid w:val="00B223DB"/>
    <w:rsid w:val="00B31455"/>
    <w:rsid w:val="00B51B14"/>
    <w:rsid w:val="00B6416F"/>
    <w:rsid w:val="00B64308"/>
    <w:rsid w:val="00B75112"/>
    <w:rsid w:val="00B862DB"/>
    <w:rsid w:val="00B95134"/>
    <w:rsid w:val="00BA0651"/>
    <w:rsid w:val="00BA3C18"/>
    <w:rsid w:val="00BB1AD8"/>
    <w:rsid w:val="00BB7220"/>
    <w:rsid w:val="00BC017C"/>
    <w:rsid w:val="00BC19AE"/>
    <w:rsid w:val="00BC4760"/>
    <w:rsid w:val="00BC68D9"/>
    <w:rsid w:val="00BC6ABE"/>
    <w:rsid w:val="00BE48F3"/>
    <w:rsid w:val="00BE6B54"/>
    <w:rsid w:val="00BF38CA"/>
    <w:rsid w:val="00C0212C"/>
    <w:rsid w:val="00C133BB"/>
    <w:rsid w:val="00C13D0F"/>
    <w:rsid w:val="00C14DA4"/>
    <w:rsid w:val="00C154FC"/>
    <w:rsid w:val="00C20BDF"/>
    <w:rsid w:val="00C25D12"/>
    <w:rsid w:val="00C301CC"/>
    <w:rsid w:val="00C3443D"/>
    <w:rsid w:val="00C36AD3"/>
    <w:rsid w:val="00C50D6C"/>
    <w:rsid w:val="00C53239"/>
    <w:rsid w:val="00C62B71"/>
    <w:rsid w:val="00C67D75"/>
    <w:rsid w:val="00C70154"/>
    <w:rsid w:val="00C859AD"/>
    <w:rsid w:val="00C9226A"/>
    <w:rsid w:val="00C93ADA"/>
    <w:rsid w:val="00CB558E"/>
    <w:rsid w:val="00CD336F"/>
    <w:rsid w:val="00CD4614"/>
    <w:rsid w:val="00CD5CA2"/>
    <w:rsid w:val="00CE3C4F"/>
    <w:rsid w:val="00CE6999"/>
    <w:rsid w:val="00CF30FD"/>
    <w:rsid w:val="00D018FB"/>
    <w:rsid w:val="00D0229B"/>
    <w:rsid w:val="00D0260E"/>
    <w:rsid w:val="00D140C9"/>
    <w:rsid w:val="00D214A7"/>
    <w:rsid w:val="00D300A5"/>
    <w:rsid w:val="00D32202"/>
    <w:rsid w:val="00D42D82"/>
    <w:rsid w:val="00D45940"/>
    <w:rsid w:val="00D53C38"/>
    <w:rsid w:val="00D6497E"/>
    <w:rsid w:val="00D70E48"/>
    <w:rsid w:val="00D717F3"/>
    <w:rsid w:val="00D84FF0"/>
    <w:rsid w:val="00DA0AEE"/>
    <w:rsid w:val="00DA0FDC"/>
    <w:rsid w:val="00DB1EF7"/>
    <w:rsid w:val="00DB2330"/>
    <w:rsid w:val="00DB2E68"/>
    <w:rsid w:val="00DB4804"/>
    <w:rsid w:val="00DC292C"/>
    <w:rsid w:val="00DD38F5"/>
    <w:rsid w:val="00DD6B44"/>
    <w:rsid w:val="00DE3F91"/>
    <w:rsid w:val="00DF08D7"/>
    <w:rsid w:val="00DF64D8"/>
    <w:rsid w:val="00E005DB"/>
    <w:rsid w:val="00E03D27"/>
    <w:rsid w:val="00E0422F"/>
    <w:rsid w:val="00E10E56"/>
    <w:rsid w:val="00E120A6"/>
    <w:rsid w:val="00E2124A"/>
    <w:rsid w:val="00E23FCE"/>
    <w:rsid w:val="00E25C87"/>
    <w:rsid w:val="00E33381"/>
    <w:rsid w:val="00E35676"/>
    <w:rsid w:val="00E36A07"/>
    <w:rsid w:val="00E45349"/>
    <w:rsid w:val="00E474FF"/>
    <w:rsid w:val="00E519EF"/>
    <w:rsid w:val="00E5251E"/>
    <w:rsid w:val="00E5488F"/>
    <w:rsid w:val="00E62200"/>
    <w:rsid w:val="00E65C3D"/>
    <w:rsid w:val="00E720C4"/>
    <w:rsid w:val="00E7344F"/>
    <w:rsid w:val="00E80C69"/>
    <w:rsid w:val="00E844CD"/>
    <w:rsid w:val="00E90E50"/>
    <w:rsid w:val="00E925CB"/>
    <w:rsid w:val="00E93251"/>
    <w:rsid w:val="00E93C96"/>
    <w:rsid w:val="00EB4211"/>
    <w:rsid w:val="00EC1CC0"/>
    <w:rsid w:val="00EE4F37"/>
    <w:rsid w:val="00EE6667"/>
    <w:rsid w:val="00EF5446"/>
    <w:rsid w:val="00F02687"/>
    <w:rsid w:val="00F02970"/>
    <w:rsid w:val="00F159E3"/>
    <w:rsid w:val="00F170C4"/>
    <w:rsid w:val="00F1740B"/>
    <w:rsid w:val="00F2095C"/>
    <w:rsid w:val="00F25F52"/>
    <w:rsid w:val="00F4129F"/>
    <w:rsid w:val="00F4266F"/>
    <w:rsid w:val="00F464E3"/>
    <w:rsid w:val="00F53CE2"/>
    <w:rsid w:val="00F66125"/>
    <w:rsid w:val="00F67D99"/>
    <w:rsid w:val="00F8167E"/>
    <w:rsid w:val="00F83E20"/>
    <w:rsid w:val="00F864D0"/>
    <w:rsid w:val="00F86828"/>
    <w:rsid w:val="00FA1C50"/>
    <w:rsid w:val="00FA5809"/>
    <w:rsid w:val="00FC23F8"/>
    <w:rsid w:val="00FC675A"/>
    <w:rsid w:val="00FC6BF5"/>
    <w:rsid w:val="00FE6C8F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BB2A2"/>
  <w15:docId w15:val="{BE651B94-8BA4-45CF-AE62-37AA11A5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71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820A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A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820A2A"/>
    <w:rPr>
      <w:sz w:val="20"/>
      <w:szCs w:val="20"/>
    </w:rPr>
  </w:style>
  <w:style w:type="paragraph" w:styleId="a7">
    <w:name w:val="List Paragraph"/>
    <w:basedOn w:val="a"/>
    <w:uiPriority w:val="34"/>
    <w:qFormat/>
    <w:rsid w:val="00940FF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3CE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第一條"/>
    <w:basedOn w:val="a"/>
    <w:uiPriority w:val="99"/>
    <w:rsid w:val="00DA0AEE"/>
    <w:pPr>
      <w:spacing w:line="340" w:lineRule="exact"/>
      <w:ind w:left="454" w:hanging="454"/>
      <w:jc w:val="both"/>
    </w:pPr>
    <w:rPr>
      <w:rFonts w:eastAsia="標楷體"/>
      <w:sz w:val="22"/>
    </w:rPr>
  </w:style>
  <w:style w:type="character" w:styleId="ab">
    <w:name w:val="Hyperlink"/>
    <w:basedOn w:val="a0"/>
    <w:uiPriority w:val="99"/>
    <w:unhideWhenUsed/>
    <w:rsid w:val="0075126E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5126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51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AFCC-F08F-4175-A24F-9652C0F6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張健鋒</dc:creator>
  <cp:lastModifiedBy>黃曼睿(emilyh)</cp:lastModifiedBy>
  <cp:revision>104</cp:revision>
  <cp:lastPrinted>2025-06-30T02:48:00Z</cp:lastPrinted>
  <dcterms:created xsi:type="dcterms:W3CDTF">2022-10-19T08:53:00Z</dcterms:created>
  <dcterms:modified xsi:type="dcterms:W3CDTF">2025-10-22T01:43:00Z</dcterms:modified>
</cp:coreProperties>
</file>